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Рынок реализации сельскохозяйственной продукции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на рынке реализации сельскохозяйственной продукции осуществляют деятельность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индивидуальных предпринимателя – главы крестьянских фермерских хозяйств (согласно реестру СМСП ФНС).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 мероприятий «дорожной картой» по содействию развитию конкуренции в городе Нефтеюганске» на 2025-2026 годы предусмотрены следующие мероприятия: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5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-оказание содействия предприятиям, занимающимся животноводством, по участию в выставках и (или) ярмарках;</w:t>
      </w:r>
      <w:r>
        <w:rPr>
          <w:color w:val="000000" w:themeColor="text1"/>
          <w:sz w:val="28"/>
          <w:szCs w:val="28"/>
        </w:rPr>
      </w:r>
    </w:p>
    <w:p>
      <w:pPr>
        <w:pStyle w:val="835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-актуализация реестра нормативных правовых актов о мерах поддержки, размещение его в открытом доступе на официальном сайте органов местного самоуправления, Инвестиционном портале города Нефтеюганска;</w:t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Style w:val="835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</w:t>
      </w:r>
      <w:bookmarkStart w:id="0" w:name="_GoBack"/>
      <w:r/>
      <w:bookmarkEnd w:id="0"/>
      <w:r>
        <w:rPr>
          <w:color w:val="000000" w:themeColor="text1"/>
          <w:sz w:val="28"/>
          <w:szCs w:val="28"/>
          <w:shd w:val="clear" w:color="auto" w:fill="ffffff"/>
        </w:rPr>
        <w:t xml:space="preserve">оказание организационно-методической и информационно-консультативной помощи участникам рынка.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мероприятий направлена на достижение следующих показателей: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pPr w:horzAnchor="margin" w:tblpXSpec="center" w:vertAnchor="text" w:tblpY="120" w:leftFromText="180" w:topFromText="0" w:rightFromText="180" w:bottomFromText="0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992"/>
        <w:gridCol w:w="982"/>
        <w:gridCol w:w="982"/>
      </w:tblGrid>
      <w:tr>
        <w:tblPrEx/>
        <w:trPr>
          <w:jc w:val="center"/>
          <w:trHeight w:val="589"/>
        </w:trPr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5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ключевого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9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587"/>
        </w:trPr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5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Количество крестьянских фермерских хозяйств, зарегистрированных на территории города Нефтеюганск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9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4"/>
        </w:trPr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5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Объем реализации сельскохозяйственной продукции</w:t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9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587"/>
        </w:trPr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5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Колич</w:t>
            </w:r>
            <w:r>
              <w:rPr>
                <w:rFonts w:ascii="Times New Roman" w:hAnsi="Times New Roman"/>
                <w:color w:val="000000" w:themeColor="text1"/>
              </w:rPr>
              <w:t xml:space="preserve">ество субъектов малого и среднего предпринимательства в сфере агропромышленного комплекса, получивших поддержку, в том числе в результате услуг, оказанных центрами компетенций в сфере сельскохозяйственной кооперации и поддержки фермеров, накопленным итогом</w:t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9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Ответственным орг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аном администрации города Нефтеюганска за реализацию мероприятий по содействию развитию конкуренции на рынке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рынке реализации сельскохозяйственной продукции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муниципальном образовании город Нефтеюганск определён 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телефон: 8 (3463) 51 72 80, доб.26107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otdelpredp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49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5">
    <w:name w:val="Footer Char"/>
    <w:basedOn w:val="663"/>
    <w:link w:val="687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Нижний колонтитул Знак"/>
    <w:basedOn w:val="663"/>
    <w:link w:val="687"/>
    <w:uiPriority w:val="99"/>
  </w:style>
  <w:style w:type="paragraph" w:styleId="689">
    <w:name w:val="Caption"/>
    <w:basedOn w:val="653"/>
    <w:next w:val="653"/>
    <w:link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азвание объекта Знак"/>
    <w:basedOn w:val="663"/>
    <w:link w:val="689"/>
    <w:uiPriority w:val="35"/>
    <w:rPr>
      <w:b/>
      <w:bCs/>
      <w:color w:val="5b9bd5" w:themeColor="accent1"/>
      <w:sz w:val="18"/>
      <w:szCs w:val="18"/>
    </w:rPr>
  </w:style>
  <w:style w:type="table" w:styleId="691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3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3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  <w:pPr>
      <w:spacing w:after="0"/>
    </w:pPr>
  </w:style>
  <w:style w:type="paragraph" w:styleId="835" w:customStyle="1">
    <w:name w:val="s_16"/>
    <w:basedOn w:val="6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Татьяна Васильевна</dc:creator>
  <cp:keywords/>
  <dc:description/>
  <cp:lastModifiedBy>Boldyrevaoa</cp:lastModifiedBy>
  <cp:revision>8</cp:revision>
  <dcterms:created xsi:type="dcterms:W3CDTF">2026-05-07T11:37:00Z</dcterms:created>
  <dcterms:modified xsi:type="dcterms:W3CDTF">2026-05-13T10:57:24Z</dcterms:modified>
</cp:coreProperties>
</file>