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 xml:space="preserve">ын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 xml:space="preserve">к услуг в сфере культуры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на 01.01.2026 </w:t>
      </w:r>
      <w:r>
        <w:rPr>
          <w:rFonts w:ascii="Times New Roman" w:hAnsi="Times New Roman" w:cs="Times New Roman"/>
          <w:sz w:val="28"/>
          <w:szCs w:val="28"/>
        </w:rPr>
        <w:t xml:space="preserve">на рынке </w:t>
      </w:r>
      <w:r>
        <w:rPr>
          <w:rFonts w:ascii="Times New Roman" w:hAnsi="Times New Roman" w:cs="Times New Roman"/>
          <w:sz w:val="28"/>
          <w:szCs w:val="28"/>
        </w:rPr>
        <w:t xml:space="preserve">оказания услуг </w:t>
      </w:r>
      <w:r>
        <w:rPr>
          <w:rFonts w:ascii="Times New Roman" w:hAnsi="Times New Roman" w:cs="Times New Roman"/>
          <w:sz w:val="28"/>
          <w:szCs w:val="28"/>
        </w:rPr>
        <w:t xml:space="preserve">в сфере культуры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деятельность 17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хозяйствующих субъектов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из них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7 муниципальных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субъектов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частной формы собственности.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Планом мероприятий «дорожной картой» по содействию развитию конкуренции в городе Нефтеюганске на период 2025-2026 годов предусмотрено следующее мероприятие: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казание организационно-методической и информационно-консультативной помощи хозяйствующим субъектам, осуществляющим (планирующим осуществлять) деятельность на рынке услуг в сфере культуры, в том числе о возможности получения мер государственной поддержки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едение перечня хозяйствующих субъектов, осуществляющих деятельность в сфере культуры, по направлениям деятельности и видам предоставляемых услуг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нформирование об организации и проведении культурно-массовых мероприятий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направлена на д</w:t>
      </w:r>
      <w:r>
        <w:rPr>
          <w:rFonts w:ascii="Times New Roman" w:hAnsi="Times New Roman" w:cs="Times New Roman"/>
          <w:sz w:val="28"/>
          <w:szCs w:val="28"/>
        </w:rPr>
        <w:t xml:space="preserve">остижение следующих показателей: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Style w:val="621"/>
        <w:tblW w:w="9688" w:type="dxa"/>
        <w:tblLook w:val="04A0" w:firstRow="1" w:lastRow="0" w:firstColumn="1" w:lastColumn="0" w:noHBand="0" w:noVBand="1"/>
      </w:tblPr>
      <w:tblGrid>
        <w:gridCol w:w="4992"/>
        <w:gridCol w:w="1032"/>
        <w:gridCol w:w="1740"/>
        <w:gridCol w:w="1924"/>
      </w:tblGrid>
      <w:tr>
        <w:tblPrEx/>
        <w:trPr>
          <w:trHeight w:val="242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27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7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 организаций частной формы собственности в сфере культуры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7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Увеличение числа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посещений организаций культуры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7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685 000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ind w:firstLine="708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Ответственным органом администрации города Нефтеюганска за реализацию мероприятий по содействию развитию конкуренции на рынке услуг в сфере культуры в городе Нефтеюганске определен комитет культуры и туризма администрации города Нефтеюганска.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</w:p>
    <w:p>
      <w:pPr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</w:p>
    <w:p>
      <w:pPr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  <w:lang w:eastAsia="ru-RU"/>
        </w:rPr>
        <w:t xml:space="preserve">Контакты:</w:t>
      </w:r>
      <w:bookmarkStart w:id="0" w:name="_GoBack"/>
      <w:r>
        <w:rPr>
          <w:u w:val="none"/>
        </w:rPr>
      </w:r>
      <w:bookmarkEnd w:id="0"/>
      <w:r>
        <w:rPr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Комитет культуры и туризма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 города Нефтеюганска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адрес: г. Нефтеюганск, 5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микрорайон, дом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телефон: 8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3463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22 19 62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электронная почта: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kultura@admugansk.ru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 Рафкатовна Хабирова</dc:creator>
  <cp:keywords/>
  <dc:description/>
  <cp:lastModifiedBy>Boldyrevaoa</cp:lastModifiedBy>
  <cp:revision>4</cp:revision>
  <dcterms:created xsi:type="dcterms:W3CDTF">2026-05-14T09:36:00Z</dcterms:created>
  <dcterms:modified xsi:type="dcterms:W3CDTF">2026-05-14T10:35:50Z</dcterms:modified>
</cp:coreProperties>
</file>