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5D0784" w:rsidP="005D0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D0784">
        <w:rPr>
          <w:rFonts w:ascii="Times New Roman" w:hAnsi="Times New Roman" w:cs="Times New Roman"/>
          <w:b/>
          <w:sz w:val="28"/>
          <w:szCs w:val="28"/>
        </w:rPr>
        <w:t>ынок добычи общераспространенных полезных ископаемых на участках недр местного значения</w:t>
      </w:r>
    </w:p>
    <w:p w:rsidR="005D0784" w:rsidRDefault="00631D1E" w:rsidP="00044A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1E">
        <w:rPr>
          <w:rFonts w:ascii="Times New Roman" w:hAnsi="Times New Roman" w:cs="Times New Roman"/>
          <w:sz w:val="28"/>
          <w:szCs w:val="28"/>
        </w:rPr>
        <w:t>Основными видами добываемых в автономном округе общераспространенных полезных ископаемых являются пески для планировочных работ, в меньшей степени - суглинки, супеси, торф, незначительны объемы добычи глин, песчано-гравийных смесей и сланцев.</w:t>
      </w:r>
    </w:p>
    <w:p w:rsidR="00F636CD" w:rsidRPr="00F636CD" w:rsidRDefault="00F636CD" w:rsidP="00F63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CD">
        <w:rPr>
          <w:rFonts w:ascii="Times New Roman" w:hAnsi="Times New Roman" w:cs="Times New Roman"/>
          <w:sz w:val="28"/>
          <w:szCs w:val="28"/>
        </w:rPr>
        <w:t>Лицензии на пользование недрами для геологического изучения, разведки и добычи общераспространенных полезных ископаемых имеют отдельные нефтегазодобывающие предприятия. Большая часть действующих лицензий предоставляется на р</w:t>
      </w:r>
      <w:r>
        <w:rPr>
          <w:rFonts w:ascii="Times New Roman" w:hAnsi="Times New Roman" w:cs="Times New Roman"/>
          <w:sz w:val="28"/>
          <w:szCs w:val="28"/>
        </w:rPr>
        <w:t>азведку и добычу песка и торфа.</w:t>
      </w:r>
    </w:p>
    <w:p w:rsidR="00FA01A5" w:rsidRPr="00FA01A5" w:rsidRDefault="00FA01A5" w:rsidP="00FA01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A5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конкуренции в городе Нефтеюганске» на период 2024 – 2025 годов предусмотрены следующие мероприятия:</w:t>
      </w:r>
    </w:p>
    <w:p w:rsidR="00FA01A5" w:rsidRPr="00FA01A5" w:rsidRDefault="00FA01A5" w:rsidP="00FA01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A5">
        <w:rPr>
          <w:rFonts w:ascii="Times New Roman" w:hAnsi="Times New Roman" w:cs="Times New Roman"/>
          <w:sz w:val="28"/>
          <w:szCs w:val="28"/>
        </w:rPr>
        <w:t>-оказание информационно-консультативной помощи субъектам предпринимательства, осуществляющим деятельность на товарном рынке;</w:t>
      </w:r>
    </w:p>
    <w:p w:rsidR="00FA01A5" w:rsidRPr="00FA01A5" w:rsidRDefault="00FA01A5" w:rsidP="00FA01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ведение реестра земельных участков, предназначенных для добычи общераспространённых полезных ископаемых на участках недр местного значения.</w:t>
      </w:r>
    </w:p>
    <w:p w:rsidR="00F636CD" w:rsidRDefault="00FA01A5" w:rsidP="00FA01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A5">
        <w:rPr>
          <w:rFonts w:ascii="Times New Roman" w:hAnsi="Times New Roman" w:cs="Times New Roman"/>
          <w:sz w:val="28"/>
          <w:szCs w:val="28"/>
        </w:rPr>
        <w:t>Решение поставленных задач должно</w:t>
      </w:r>
      <w:r w:rsidR="00E37BCE">
        <w:rPr>
          <w:rFonts w:ascii="Times New Roman" w:hAnsi="Times New Roman" w:cs="Times New Roman"/>
          <w:sz w:val="28"/>
          <w:szCs w:val="28"/>
        </w:rPr>
        <w:t xml:space="preserve"> обеспечить исполнение следующего ключевого показателя</w:t>
      </w:r>
      <w:bookmarkStart w:id="0" w:name="_GoBack"/>
      <w:bookmarkEnd w:id="0"/>
      <w:r w:rsidRPr="00FA01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130"/>
        <w:gridCol w:w="813"/>
        <w:gridCol w:w="1201"/>
        <w:gridCol w:w="1201"/>
      </w:tblGrid>
      <w:tr w:rsidR="00FA01A5" w:rsidRPr="00FA01A5" w:rsidTr="003977D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FA01A5" w:rsidRPr="00FA01A5" w:rsidTr="003977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5" w:rsidRPr="00FA01A5" w:rsidRDefault="00FA01A5" w:rsidP="00FA01A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A5" w:rsidRPr="00FA01A5" w:rsidRDefault="00FA01A5" w:rsidP="00FA01A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Pr="00FA0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A01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  <w:r w:rsidRPr="00FA0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A01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FA01A5" w:rsidRPr="00FA01A5" w:rsidTr="003977D6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на рынке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полезных ископаемых на участках недр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5" w:rsidRPr="00FA01A5" w:rsidRDefault="00FA01A5" w:rsidP="00FA01A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01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FA01A5" w:rsidRPr="00FA01A5" w:rsidRDefault="00FA01A5" w:rsidP="00FA01A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1A5" w:rsidRPr="00FA01A5" w:rsidRDefault="00FA01A5" w:rsidP="00FA0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Ответственными органом за реализацию мероприятий по содействию развитию конкуренции на рынке </w:t>
      </w:r>
      <w:r w:rsidR="006C11AC" w:rsidRPr="006C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полезных ископаемых на участках недр местного значения </w:t>
      </w:r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 департамент экономического развития администрации города Нефтеюганска</w:t>
      </w:r>
    </w:p>
    <w:p w:rsidR="00FA01A5" w:rsidRPr="00FA01A5" w:rsidRDefault="00FA01A5" w:rsidP="00FA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FA01A5" w:rsidRPr="00FA01A5" w:rsidRDefault="00FA01A5" w:rsidP="00FA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A01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КОНТАКТЫ:</w:t>
      </w:r>
    </w:p>
    <w:p w:rsidR="00FA01A5" w:rsidRPr="00FA01A5" w:rsidRDefault="00FA01A5" w:rsidP="00FA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экономического развития администрации города Нефтеюганска</w:t>
      </w:r>
    </w:p>
    <w:p w:rsidR="00FA01A5" w:rsidRPr="00FA01A5" w:rsidRDefault="00FA01A5" w:rsidP="00FA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г.Нефтеюганск, 2 </w:t>
      </w:r>
      <w:proofErr w:type="spellStart"/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23 дом</w:t>
      </w:r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Телефон:8-(3463)-22-57-96</w:t>
      </w:r>
    </w:p>
    <w:p w:rsidR="00FA01A5" w:rsidRPr="00FA01A5" w:rsidRDefault="00FA01A5" w:rsidP="00FA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Pr="00FA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@admugansk.ru</w:t>
      </w:r>
    </w:p>
    <w:p w:rsidR="00FA01A5" w:rsidRPr="00FA01A5" w:rsidRDefault="00FA01A5" w:rsidP="00FA01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1A5" w:rsidRPr="005D0784" w:rsidRDefault="00FA01A5" w:rsidP="00FA01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01A5" w:rsidRPr="005D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D"/>
    <w:rsid w:val="00044A96"/>
    <w:rsid w:val="0022492C"/>
    <w:rsid w:val="002833BD"/>
    <w:rsid w:val="005D0784"/>
    <w:rsid w:val="00631D1E"/>
    <w:rsid w:val="006C11AC"/>
    <w:rsid w:val="00CD28CE"/>
    <w:rsid w:val="00E37BCE"/>
    <w:rsid w:val="00F636CD"/>
    <w:rsid w:val="00F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E35"/>
  <w15:chartTrackingRefBased/>
  <w15:docId w15:val="{BC341B51-2F01-4EFD-826F-9C249BE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6</cp:revision>
  <dcterms:created xsi:type="dcterms:W3CDTF">2024-10-18T05:01:00Z</dcterms:created>
  <dcterms:modified xsi:type="dcterms:W3CDTF">2025-01-10T06:37:00Z</dcterms:modified>
</cp:coreProperties>
</file>