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Рынок теплоснабжения (производство тепловой энергии)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0"/>
          <w:szCs w:val="20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Развитие конкуренции на рынке теплоснабжения (производства тепловой энергии) обусловлено привлечением финансовых средств в коммунальный комплекс, повышением качества предоставляемых коммунальных услуг населению муниципального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образования город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Нефтеюганск.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на рынке теплоснабжения (производства тепловой энергии) осуществляют деятельность11 организаций, из них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частной формы собственности.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ном мероприятий «дорожной картой» по содействию развитию конкуренции в городе Нефтеюганске» на 2025-2026 годы предусмотрено мероприятие «</w:t>
      </w:r>
      <w:r>
        <w:rPr>
          <w:rFonts w:ascii="Times New Roman" w:hAnsi="Times New Roman" w:cs="Times New Roman"/>
          <w:sz w:val="28"/>
          <w:szCs w:val="28"/>
        </w:rPr>
        <w:t xml:space="preserve">Капитальный ремонт (с заменой) систем теплоснабжения, водоснабжения и водоотведения, в том числе с применением композитных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5000" w:type="pct"/>
        <w:tblLayout w:type="fixed"/>
        <w:tblLook w:val="04A0" w:firstRow="1" w:lastRow="0" w:firstColumn="1" w:lastColumn="0" w:noHBand="0" w:noVBand="1"/>
      </w:tblPr>
      <w:tblGrid>
        <w:gridCol w:w="4110"/>
        <w:gridCol w:w="893"/>
        <w:gridCol w:w="1375"/>
        <w:gridCol w:w="1417"/>
        <w:gridCol w:w="1560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435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теплоснабжения (производство тепловой энергии)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65,0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Ответственными орган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м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администрации города Нефтеюганска за реализацию мероприятий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на рынке теплоснабжения (производства тепловой энергии)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является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департамент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жилищно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– коммунального хозяйства администрации города Нефтеюганска.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жилищно – коммунального хозяйства адм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инистрации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Нефтеюганска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адрес: г. Неф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теюганск, ул. Строителей, дом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телефон: 8 (3463)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br/>
        <w:t xml:space="preserve">электронная почта: DJKH@admugansk.ru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Рафкатовна Хабирова</dc:creator>
  <cp:keywords/>
  <dc:description/>
  <cp:lastModifiedBy>Boldyrevaoa</cp:lastModifiedBy>
  <cp:revision>12</cp:revision>
  <dcterms:created xsi:type="dcterms:W3CDTF">2022-12-26T07:17:00Z</dcterms:created>
  <dcterms:modified xsi:type="dcterms:W3CDTF">2026-05-13T10:48:31Z</dcterms:modified>
</cp:coreProperties>
</file>