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Рынок турист</w:t>
      </w:r>
      <w:r>
        <w:rPr>
          <w:rFonts w:ascii="Times New Roman" w:hAnsi="Times New Roman" w:cs="Times New Roman"/>
          <w:b/>
          <w:sz w:val="28"/>
          <w:szCs w:val="28"/>
        </w:rPr>
        <w:t xml:space="preserve">с</w:t>
      </w:r>
      <w:r>
        <w:rPr>
          <w:rFonts w:ascii="Times New Roman" w:hAnsi="Times New Roman" w:cs="Times New Roman"/>
          <w:b/>
          <w:sz w:val="28"/>
          <w:szCs w:val="28"/>
        </w:rPr>
        <w:t xml:space="preserve">ких услуг</w:t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9"/>
        <w:jc w:val="both"/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муниципальном образовании город Нефтеюганск </w:t>
      </w:r>
      <w:r>
        <w:rPr>
          <w:rFonts w:ascii="Times New Roman" w:hAnsi="Times New Roman" w:cs="Times New Roman"/>
          <w:sz w:val="28"/>
          <w:szCs w:val="28"/>
        </w:rPr>
        <w:t xml:space="preserve">на</w:t>
      </w:r>
      <w:r>
        <w:rPr>
          <w:rFonts w:ascii="Times New Roman" w:hAnsi="Times New Roman" w:cs="Times New Roman"/>
          <w:sz w:val="28"/>
          <w:szCs w:val="28"/>
        </w:rPr>
        <w:t xml:space="preserve"> 01.01.2026 на рынке </w:t>
      </w:r>
      <w:r>
        <w:rPr>
          <w:rFonts w:ascii="Times New Roman" w:hAnsi="Times New Roman" w:cs="Times New Roman"/>
          <w:sz w:val="28"/>
          <w:szCs w:val="28"/>
        </w:rPr>
        <w:t xml:space="preserve">туристских услуг</w:t>
      </w:r>
      <w:r>
        <w:rPr>
          <w:rFonts w:ascii="Times New Roman" w:hAnsi="Times New Roman" w:cs="Times New Roman"/>
          <w:sz w:val="28"/>
          <w:szCs w:val="28"/>
        </w:rPr>
        <w:t xml:space="preserve"> осуществляют деятельность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26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организаций частной формы собственности (согласно реестру СМСП ФНС).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Планом мероприятий «дорожной картой» по содействию развитию конкуренции в городе Нефтеюганске» на 2026 год предусмотрены следующие мероприятия: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нформиров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ание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хозяйствующих субъектов о мерах государственной поддержки на развитие внутреннего и въездного туризма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едение реестра туристских ресурсов и организаций туристской индустрии города Нефтеюганска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Реализация мероприятий направлена на достижение следующ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его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показател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tbl>
      <w:tblPr>
        <w:tblStyle w:val="621"/>
        <w:tblW w:w="9688" w:type="dxa"/>
        <w:tblLayout w:type="fixed"/>
        <w:tblLook w:val="04A0" w:firstRow="1" w:lastRow="0" w:firstColumn="1" w:lastColumn="0" w:noHBand="0" w:noVBand="1"/>
      </w:tblPr>
      <w:tblGrid>
        <w:gridCol w:w="5386"/>
        <w:gridCol w:w="709"/>
        <w:gridCol w:w="1984"/>
        <w:gridCol w:w="1609"/>
      </w:tblGrid>
      <w:tr>
        <w:tblPrEx/>
        <w:trPr>
          <w:trHeight w:val="242"/>
        </w:trPr>
        <w:tc>
          <w:tcPr>
            <w:tcW w:w="0" w:type="auto"/>
            <w:vMerge w:val="restart"/>
            <w:textDirection w:val="lrTb"/>
            <w:noWrap w:val="false"/>
          </w:tcPr>
          <w:p>
            <w:pPr>
              <w:ind w:firstLine="22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Наименование ключевого показателя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0" w:type="auto"/>
            <w:vMerge w:val="restart"/>
            <w:textDirection w:val="lrTb"/>
            <w:noWrap w:val="false"/>
          </w:tcPr>
          <w:p>
            <w:pPr>
              <w:ind w:firstLine="22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Ед. изм.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gridSpan w:val="2"/>
            <w:tcW w:w="0" w:type="auto"/>
            <w:textDirection w:val="lrTb"/>
            <w:noWrap w:val="false"/>
          </w:tcPr>
          <w:p>
            <w:pPr>
              <w:ind w:firstLine="22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Значение показателя по периодам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trHeight w:val="727"/>
        </w:trPr>
        <w:tc>
          <w:tcPr>
            <w:tcW w:w="0" w:type="auto"/>
            <w:vMerge w:val="continue"/>
            <w:textDirection w:val="lrTb"/>
            <w:noWrap w:val="false"/>
          </w:tcPr>
          <w:p>
            <w:pPr>
              <w:ind w:firstLine="22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pPr>
              <w:ind w:firstLine="22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ind w:firstLine="2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202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год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609" w:type="dxa"/>
            <w:textDirection w:val="lrTb"/>
            <w:noWrap w:val="false"/>
          </w:tcPr>
          <w:p>
            <w:pPr>
              <w:ind w:firstLine="2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202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год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trHeight w:val="424"/>
        </w:trPr>
        <w:tc>
          <w:tcPr>
            <w:tcW w:w="0" w:type="auto"/>
            <w:textDirection w:val="lrTb"/>
            <w:noWrap w:val="false"/>
          </w:tcPr>
          <w:p>
            <w:pPr>
              <w:ind w:firstLine="22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Численность размещенных в коллективных средствах размещения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0" w:type="auto"/>
            <w:textDirection w:val="lrTb"/>
            <w:noWrap w:val="false"/>
          </w:tcPr>
          <w:p>
            <w:pPr>
              <w:ind w:firstLine="22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тыс.чел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ind w:firstLine="2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22 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00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609" w:type="dxa"/>
            <w:textDirection w:val="lrTb"/>
            <w:noWrap w:val="false"/>
          </w:tcPr>
          <w:p>
            <w:pPr>
              <w:ind w:firstLine="2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22 6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00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</w:tbl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Ответственным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органом за реализацию ме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роприятий по содействию развити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конкуренции на рынке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туристических услуг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городе Нефтеюганске определены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комитет культуры и туризма администрации города Нефтеюганска,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департамент экономического развития администрации города Нефтеюганска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spacing w:after="0" w:line="276" w:lineRule="auto"/>
        <w:shd w:val="clear" w:color="auto" w:fill="ffffff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  <w:lang w:eastAsia="ru-RU"/>
        </w:rPr>
        <w:t xml:space="preserve">Контракты: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spacing w:after="0" w:line="276" w:lineRule="auto"/>
        <w:shd w:val="clear" w:color="auto" w:fill="ffffff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Комитет культуры и туризма администрации города Нефтеюганска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spacing w:after="0" w:line="276" w:lineRule="auto"/>
        <w:shd w:val="clear" w:color="auto" w:fill="ffffff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адрес: г. Не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фтеюганск, 5 микрорайон, дом 11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spacing w:after="0" w:line="276" w:lineRule="auto"/>
        <w:shd w:val="clear" w:color="auto" w:fill="ffffff"/>
        <w:rPr>
          <w:rFonts w:ascii="Times New Roman" w:hAnsi="Times New Roman" w:eastAsia="Times New Roman" w:cs="Times New Roman"/>
          <w:sz w:val="28"/>
          <w:szCs w:val="28"/>
          <w:lang w:val="en-US" w:eastAsia="ru-RU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телефо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н: 8 (3463) 27 63 19</w:t>
      </w:r>
      <w:r>
        <w:rPr>
          <w:rFonts w:ascii="Times New Roman" w:hAnsi="Times New Roman" w:eastAsia="Times New Roman" w:cs="Times New Roman"/>
          <w:sz w:val="28"/>
          <w:szCs w:val="28"/>
          <w:lang w:val="en-US" w:eastAsia="ru-RU"/>
        </w:rPr>
        <w:t xml:space="preserve">.</w:t>
      </w:r>
      <w:bookmarkStart w:id="0" w:name="_GoBack"/>
      <w:r/>
      <w:bookmarkEnd w:id="0"/>
      <w:r/>
      <w:r>
        <w:rPr>
          <w:rFonts w:ascii="Times New Roman" w:hAnsi="Times New Roman" w:eastAsia="Times New Roman" w:cs="Times New Roman"/>
          <w:sz w:val="28"/>
          <w:szCs w:val="28"/>
          <w:lang w:val="en-US" w:eastAsia="ru-RU"/>
        </w:rPr>
      </w:r>
    </w:p>
    <w:p>
      <w:pPr>
        <w:spacing w:after="0" w:line="276" w:lineRule="auto"/>
        <w:shd w:val="clear" w:color="auto" w:fill="ffff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электронная почта: </w:t>
      </w:r>
      <w:hyperlink r:id="rId8" w:tooltip="mailto:kultura@admugansk.ru" w:history="1">
        <w:r>
          <w:rPr>
            <w:rStyle w:val="622"/>
            <w:rFonts w:ascii="Times New Roman" w:hAnsi="Times New Roman" w:eastAsia="Times New Roman" w:cs="Times New Roman"/>
            <w:color w:val="auto"/>
            <w:sz w:val="28"/>
            <w:szCs w:val="28"/>
            <w:lang w:eastAsia="ru-RU"/>
          </w:rPr>
          <w:t xml:space="preserve">kultura@admugansk.ru</w:t>
        </w:r>
      </w:hyperlink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spacing w:after="0" w:line="276" w:lineRule="auto"/>
        <w:shd w:val="clear" w:color="auto" w:fill="ffff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jc w:val="both"/>
        <w:spacing w:after="0" w:line="276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Департамент экономического развития администрации города Нефтеюганска адрес: г. Нефтеюганск, 2 микрорайон, дом 23, каб.11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jc w:val="both"/>
        <w:spacing w:after="0" w:line="276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Телефон: 8 (3463) 51 72 80 доб.26099, 26100, 26102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jc w:val="both"/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электронная почта: </w:t>
      </w:r>
      <w:r>
        <w:rPr>
          <w:rFonts w:ascii="Times New Roman" w:hAnsi="Times New Roman" w:eastAsia="Times New Roman" w:cs="Times New Roman"/>
          <w:sz w:val="28"/>
          <w:szCs w:val="28"/>
          <w:lang w:val="en-US" w:eastAsia="ru-RU"/>
        </w:rPr>
        <w:t xml:space="preserve">invest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@</w:t>
      </w:r>
      <w:r>
        <w:rPr>
          <w:rFonts w:ascii="Times New Roman" w:hAnsi="Times New Roman" w:eastAsia="Times New Roman" w:cs="Times New Roman"/>
          <w:sz w:val="28"/>
          <w:szCs w:val="28"/>
          <w:lang w:val="en-US" w:eastAsia="ru-RU"/>
        </w:rPr>
        <w:t xml:space="preserve">admugansk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  <w:lang w:val="en-US" w:eastAsia="ru-RU"/>
        </w:rPr>
        <w:t xml:space="preserve">ru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sectPr>
      <w:footnotePr/>
      <w:endnotePr/>
      <w:type w:val="nextPage"/>
      <w:pgSz w:w="11906" w:h="16838" w:orient="portrait"/>
      <w:pgMar w:top="1134" w:right="567" w:bottom="567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Times New Roman CYR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7"/>
    <w:next w:val="61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18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18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18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18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18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18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18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18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18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17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17"/>
    <w:next w:val="61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18"/>
    <w:link w:val="34"/>
    <w:uiPriority w:val="10"/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18"/>
    <w:link w:val="36"/>
    <w:uiPriority w:val="11"/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18"/>
    <w:link w:val="42"/>
    <w:uiPriority w:val="99"/>
  </w:style>
  <w:style w:type="paragraph" w:styleId="44">
    <w:name w:val="Footer"/>
    <w:basedOn w:val="617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18"/>
    <w:link w:val="44"/>
    <w:uiPriority w:val="99"/>
  </w:style>
  <w:style w:type="paragraph" w:styleId="46">
    <w:name w:val="Caption"/>
    <w:basedOn w:val="617"/>
    <w:next w:val="617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618"/>
    <w:link w:val="46"/>
    <w:uiPriority w:val="35"/>
    <w:rPr>
      <w:b/>
      <w:bCs/>
      <w:color w:val="4f81bd" w:themeColor="accent1"/>
      <w:sz w:val="18"/>
      <w:szCs w:val="18"/>
    </w:rPr>
  </w:style>
  <w:style w:type="table" w:styleId="49">
    <w:name w:val="Table Grid Light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61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18"/>
    <w:uiPriority w:val="99"/>
    <w:unhideWhenUsed/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18"/>
    <w:uiPriority w:val="99"/>
    <w:semiHidden/>
    <w:unhideWhenUsed/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7"/>
    <w:next w:val="61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7"/>
    <w:next w:val="61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7"/>
    <w:next w:val="61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7"/>
    <w:next w:val="61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7"/>
    <w:next w:val="61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7"/>
    <w:next w:val="61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7"/>
    <w:next w:val="61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7"/>
    <w:next w:val="61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7"/>
    <w:next w:val="617"/>
    <w:uiPriority w:val="99"/>
    <w:unhideWhenUsed/>
    <w:pPr>
      <w:spacing w:after="0" w:afterAutospacing="0"/>
    </w:pPr>
  </w:style>
  <w:style w:type="paragraph" w:styleId="617" w:default="1">
    <w:name w:val="Normal"/>
    <w:qFormat/>
  </w:style>
  <w:style w:type="character" w:styleId="618" w:default="1">
    <w:name w:val="Default Paragraph Font"/>
    <w:uiPriority w:val="1"/>
    <w:semiHidden/>
    <w:unhideWhenUsed/>
  </w:style>
  <w:style w:type="table" w:styleId="61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0" w:default="1">
    <w:name w:val="No List"/>
    <w:uiPriority w:val="99"/>
    <w:semiHidden/>
    <w:unhideWhenUsed/>
  </w:style>
  <w:style w:type="table" w:styleId="621">
    <w:name w:val="Table Grid"/>
    <w:basedOn w:val="619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622">
    <w:name w:val="Hyperlink"/>
    <w:basedOn w:val="618"/>
    <w:uiPriority w:val="99"/>
    <w:unhideWhenUsed/>
    <w:rPr>
      <w:color w:val="0563c1" w:themeColor="hyperlink"/>
      <w:u w:val="single"/>
    </w:rPr>
  </w:style>
  <w:style w:type="paragraph" w:styleId="1_633" w:customStyle="1">
    <w:name w:val="Прижатый влево"/>
    <w:basedOn w:val="713"/>
    <w:next w:val="713"/>
    <w:uiPriority w:val="99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 w:color="000000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 CYR" w:hAnsi="Times New Roman CYR" w:cs="Times New Roman CYR" w:eastAsiaTheme="minorEastAsia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yperlink" Target="mailto:kultura@admugansk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Р7-Офис/2025.1.1.763</Application>
  <Company>SPecialiST RePack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Александровна Болдырева</dc:creator>
  <cp:keywords/>
  <dc:description/>
  <cp:lastModifiedBy>Boldyrevaoa</cp:lastModifiedBy>
  <cp:revision>12</cp:revision>
  <dcterms:created xsi:type="dcterms:W3CDTF">2023-07-18T06:32:00Z</dcterms:created>
  <dcterms:modified xsi:type="dcterms:W3CDTF">2026-05-14T06:30:47Z</dcterms:modified>
</cp:coreProperties>
</file>