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DF" w:rsidRDefault="000063E0" w:rsidP="00006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3E0">
        <w:rPr>
          <w:rFonts w:ascii="Times New Roman" w:hAnsi="Times New Roman" w:cs="Times New Roman"/>
          <w:b/>
          <w:sz w:val="28"/>
          <w:szCs w:val="28"/>
        </w:rPr>
        <w:t>Рынок турист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63E0">
        <w:rPr>
          <w:rFonts w:ascii="Times New Roman" w:hAnsi="Times New Roman" w:cs="Times New Roman"/>
          <w:b/>
          <w:sz w:val="28"/>
          <w:szCs w:val="28"/>
        </w:rPr>
        <w:t>ких услуг</w:t>
      </w:r>
    </w:p>
    <w:p w:rsidR="00E8752E" w:rsidRDefault="00E8752E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Территория </w:t>
      </w:r>
      <w:r w:rsidR="00423AA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 Нефтеюганск</w:t>
      </w:r>
      <w:r w:rsidRPr="00E8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в состав восточной т</w:t>
      </w:r>
      <w:r w:rsidR="00423AA7">
        <w:rPr>
          <w:rFonts w:ascii="Times New Roman" w:hAnsi="Times New Roman" w:cs="Times New Roman"/>
          <w:color w:val="000000" w:themeColor="text1"/>
          <w:sz w:val="28"/>
          <w:szCs w:val="28"/>
        </w:rPr>
        <w:t>уристско-рекреационной зоны Ханты-Мансийского автономного округа</w:t>
      </w:r>
      <w:r w:rsidRPr="00E8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Югры, обладает многообразием возможностей для привлечения и удовлетворения потребностей и интересов гостей города, а также для развития и продвижения внутреннего и въездного туризма.</w:t>
      </w:r>
    </w:p>
    <w:p w:rsidR="001B048B" w:rsidRDefault="00E8752E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52E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Туристское предложение в городе формируют все участники туристского рынка: учреждения культуры и спорта, средства размещения, объекты общественного питания, предприятия развлечений, а также туроператоры, разрабатывающие комплексный туристский продукт</w:t>
      </w:r>
      <w:r w:rsidR="00423AA7">
        <w:rPr>
          <w:rFonts w:ascii="Times New Roman" w:hAnsi="Times New Roman" w:cs="Times New Roman"/>
          <w:color w:val="000000" w:themeColor="text1"/>
          <w:sz w:val="28"/>
          <w:szCs w:val="28"/>
        </w:rPr>
        <w:t>, турагентства</w:t>
      </w:r>
      <w:r w:rsidRPr="00E87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B048B" w:rsidRPr="001B048B" w:rsidRDefault="001B048B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города </w:t>
      </w: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следующие объекты туристического показа: скверы, аллеи, памятники и другие малые архитектурные формы, религиозные объекты – памятники и храмы, этнографический центр коренных малочисленных народов Севера. В структурных подразделениях Музейного комплекса расположены стационарные экспозиции, рассказывающие о природе, культуре коренного и русского старожильческого населения Средней Оби, истории нефтегазового освоения региона, становления и развития Нефтеюганска.</w:t>
      </w:r>
    </w:p>
    <w:p w:rsidR="001B048B" w:rsidRDefault="00423AA7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AA7">
        <w:rPr>
          <w:rFonts w:ascii="Times New Roman" w:hAnsi="Times New Roman" w:cs="Times New Roman"/>
          <w:sz w:val="28"/>
          <w:szCs w:val="28"/>
        </w:rPr>
        <w:t xml:space="preserve">Планом мероприятий («дорожной картой») по содействию развитию конкуренции в городе Нефтеюганске» на период 2022 – 2025 годов </w:t>
      </w:r>
      <w:r w:rsidR="00796173" w:rsidRPr="00796173">
        <w:rPr>
          <w:rFonts w:ascii="Times New Roman" w:hAnsi="Times New Roman" w:cs="Times New Roman"/>
          <w:sz w:val="28"/>
          <w:szCs w:val="28"/>
        </w:rPr>
        <w:t>по содействию развитию конкуренции предусмотрены следующие мероприятия:</w:t>
      </w:r>
    </w:p>
    <w:p w:rsidR="001B048B" w:rsidRDefault="00796173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173">
        <w:rPr>
          <w:rFonts w:ascii="Times New Roman" w:hAnsi="Times New Roman" w:cs="Times New Roman"/>
          <w:sz w:val="28"/>
          <w:szCs w:val="28"/>
        </w:rPr>
        <w:t>- информирование хозяйствующих субъектов о мерах поддержки на развитие внутреннего и въездного туризма;</w:t>
      </w:r>
    </w:p>
    <w:p w:rsidR="001B048B" w:rsidRDefault="00796173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8"/>
          <w:szCs w:val="28"/>
        </w:rPr>
      </w:pPr>
      <w:r w:rsidRPr="00796173">
        <w:rPr>
          <w:rFonts w:ascii="Times New Roman" w:hAnsi="Times New Roman" w:cs="Times New Roman"/>
          <w:sz w:val="28"/>
          <w:szCs w:val="28"/>
        </w:rPr>
        <w:t>- ведение реестра туристских ресурсов и организаций туристс</w:t>
      </w:r>
      <w:r w:rsidR="001B048B">
        <w:rPr>
          <w:rFonts w:ascii="Times New Roman" w:hAnsi="Times New Roman" w:cs="Times New Roman"/>
          <w:sz w:val="28"/>
          <w:szCs w:val="28"/>
        </w:rPr>
        <w:t>кой индустрии города Нефтеюганска в открытом доступе.</w:t>
      </w:r>
    </w:p>
    <w:p w:rsidR="001B048B" w:rsidRPr="001B048B" w:rsidRDefault="001B048B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органом за реализацию ме</w:t>
      </w:r>
      <w:r w:rsidR="00D95111">
        <w:rPr>
          <w:rFonts w:ascii="Times New Roman" w:hAnsi="Times New Roman" w:cs="Times New Roman"/>
          <w:color w:val="000000" w:themeColor="text1"/>
          <w:sz w:val="28"/>
          <w:szCs w:val="28"/>
        </w:rPr>
        <w:t>роприятий по содействию развития</w:t>
      </w: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конкуренции на рынке </w:t>
      </w:r>
      <w:r w:rsidR="00D95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туристических услуг </w:t>
      </w: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Нефтеюганске является комитет культуры и туризма администрации города Нефтеюганска.</w:t>
      </w:r>
    </w:p>
    <w:p w:rsidR="001B048B" w:rsidRPr="001B048B" w:rsidRDefault="001B048B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поставленных задач должно обеспечить исполнение следующих </w:t>
      </w:r>
      <w:r w:rsidR="00423A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ключевых </w:t>
      </w:r>
      <w:r w:rsidRPr="001B048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показателей:</w:t>
      </w:r>
    </w:p>
    <w:tbl>
      <w:tblPr>
        <w:tblStyle w:val="a3"/>
        <w:tblW w:w="9688" w:type="dxa"/>
        <w:tblLook w:val="04A0" w:firstRow="1" w:lastRow="0" w:firstColumn="1" w:lastColumn="0" w:noHBand="0" w:noVBand="1"/>
      </w:tblPr>
      <w:tblGrid>
        <w:gridCol w:w="4079"/>
        <w:gridCol w:w="1393"/>
        <w:gridCol w:w="1406"/>
        <w:gridCol w:w="1335"/>
        <w:gridCol w:w="1475"/>
      </w:tblGrid>
      <w:tr w:rsidR="00C139CB" w:rsidRPr="00C139CB" w:rsidTr="001B048B">
        <w:trPr>
          <w:trHeight w:val="242"/>
        </w:trPr>
        <w:tc>
          <w:tcPr>
            <w:tcW w:w="0" w:type="auto"/>
            <w:vMerge w:val="restart"/>
            <w:hideMark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0" w:type="auto"/>
            <w:vMerge w:val="restart"/>
            <w:hideMark/>
          </w:tcPr>
          <w:p w:rsidR="001B048B" w:rsidRPr="00C139CB" w:rsidRDefault="001B048B" w:rsidP="001B0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3"/>
            <w:hideMark/>
          </w:tcPr>
          <w:p w:rsidR="001B048B" w:rsidRPr="00C139CB" w:rsidRDefault="001B048B" w:rsidP="001B048B">
            <w:pPr>
              <w:ind w:firstLine="5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по периодам</w:t>
            </w:r>
          </w:p>
        </w:tc>
      </w:tr>
      <w:tr w:rsidR="00C139CB" w:rsidRPr="00C139CB" w:rsidTr="001B048B">
        <w:trPr>
          <w:trHeight w:val="727"/>
        </w:trPr>
        <w:tc>
          <w:tcPr>
            <w:tcW w:w="0" w:type="auto"/>
            <w:vMerge/>
            <w:hideMark/>
          </w:tcPr>
          <w:p w:rsidR="001B048B" w:rsidRPr="00C139CB" w:rsidRDefault="001B048B" w:rsidP="001B048B">
            <w:pPr>
              <w:ind w:firstLine="5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1B048B" w:rsidRPr="00C139CB" w:rsidRDefault="001B048B" w:rsidP="001B048B">
            <w:pPr>
              <w:ind w:firstLine="52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  <w:hideMark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081" w:type="dxa"/>
            <w:hideMark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94" w:type="dxa"/>
            <w:hideMark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C139CB" w:rsidRPr="00C139CB" w:rsidTr="001B048B">
        <w:trPr>
          <w:trHeight w:val="749"/>
        </w:trPr>
        <w:tc>
          <w:tcPr>
            <w:tcW w:w="0" w:type="auto"/>
            <w:hideMark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0" w:type="auto"/>
            <w:hideMark/>
          </w:tcPr>
          <w:p w:rsidR="001B048B" w:rsidRPr="00C139CB" w:rsidRDefault="00C139CB" w:rsidP="00C13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млн.рублей</w:t>
            </w:r>
            <w:proofErr w:type="spellEnd"/>
          </w:p>
        </w:tc>
        <w:tc>
          <w:tcPr>
            <w:tcW w:w="1138" w:type="dxa"/>
            <w:hideMark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7279</w:t>
            </w:r>
            <w:r w:rsidR="00D95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081" w:type="dxa"/>
            <w:hideMark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8734,7</w:t>
            </w:r>
          </w:p>
        </w:tc>
        <w:tc>
          <w:tcPr>
            <w:tcW w:w="1194" w:type="dxa"/>
            <w:hideMark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10481,5</w:t>
            </w:r>
          </w:p>
        </w:tc>
      </w:tr>
      <w:tr w:rsidR="00C139CB" w:rsidRPr="00C139CB" w:rsidTr="001B048B">
        <w:trPr>
          <w:trHeight w:val="424"/>
        </w:trPr>
        <w:tc>
          <w:tcPr>
            <w:tcW w:w="0" w:type="auto"/>
          </w:tcPr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размещенных в коллективных средствах размещения</w:t>
            </w:r>
          </w:p>
          <w:p w:rsidR="001B048B" w:rsidRPr="00C139CB" w:rsidRDefault="001B048B" w:rsidP="001B04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B048B" w:rsidRPr="00C139CB" w:rsidRDefault="00C139CB" w:rsidP="00C139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тыс.чел</w:t>
            </w:r>
            <w:proofErr w:type="spellEnd"/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525,5</w:t>
            </w:r>
          </w:p>
        </w:tc>
        <w:tc>
          <w:tcPr>
            <w:tcW w:w="1081" w:type="dxa"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577,4</w:t>
            </w:r>
          </w:p>
        </w:tc>
        <w:tc>
          <w:tcPr>
            <w:tcW w:w="1194" w:type="dxa"/>
          </w:tcPr>
          <w:p w:rsidR="001B048B" w:rsidRPr="00C139CB" w:rsidRDefault="00C139CB" w:rsidP="00C139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640,9</w:t>
            </w:r>
          </w:p>
        </w:tc>
      </w:tr>
    </w:tbl>
    <w:p w:rsidR="001B048B" w:rsidRDefault="001B048B" w:rsidP="001B048B">
      <w:pPr>
        <w:spacing w:after="0" w:line="240" w:lineRule="auto"/>
        <w:ind w:firstLine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9CB" w:rsidRPr="00C139CB" w:rsidRDefault="00C139CB" w:rsidP="00C1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9C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КОНТАКТЫ:</w:t>
      </w:r>
    </w:p>
    <w:p w:rsidR="00C139CB" w:rsidRPr="00C139CB" w:rsidRDefault="00C139CB" w:rsidP="00C1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Комитет культуры и туризма администрации города Нефтеюганска (адрес: г. Нефтеюганск, 5 микрорайон, дом 11)</w:t>
      </w:r>
    </w:p>
    <w:p w:rsidR="00C139CB" w:rsidRPr="00C139CB" w:rsidRDefault="007B08BD" w:rsidP="00C1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Телефон: 8 3463 27 63 19</w:t>
      </w:r>
      <w:bookmarkStart w:id="0" w:name="_GoBack"/>
      <w:bookmarkEnd w:id="0"/>
    </w:p>
    <w:p w:rsidR="00C139CB" w:rsidRPr="00C139CB" w:rsidRDefault="00C139CB" w:rsidP="00C13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электронной почты: kultura@admugansk.ru</w:t>
      </w:r>
    </w:p>
    <w:p w:rsidR="000063E0" w:rsidRPr="000063E0" w:rsidRDefault="000063E0" w:rsidP="00C13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63E0" w:rsidRPr="000063E0" w:rsidSect="007B08BD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E0"/>
    <w:rsid w:val="000063E0"/>
    <w:rsid w:val="001B048B"/>
    <w:rsid w:val="00423AA7"/>
    <w:rsid w:val="006133DF"/>
    <w:rsid w:val="00796173"/>
    <w:rsid w:val="007B08BD"/>
    <w:rsid w:val="00C139CB"/>
    <w:rsid w:val="00D95111"/>
    <w:rsid w:val="00E22ECB"/>
    <w:rsid w:val="00E8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35FE"/>
  <w15:chartTrackingRefBased/>
  <w15:docId w15:val="{993A8F05-3B2B-4278-A606-098B0822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Болдырева</dc:creator>
  <cp:keywords/>
  <dc:description/>
  <cp:lastModifiedBy>Диана Дамировна Абушахмина</cp:lastModifiedBy>
  <cp:revision>5</cp:revision>
  <dcterms:created xsi:type="dcterms:W3CDTF">2023-07-18T06:32:00Z</dcterms:created>
  <dcterms:modified xsi:type="dcterms:W3CDTF">2023-08-30T11:28:00Z</dcterms:modified>
</cp:coreProperties>
</file>