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Рынок строительства объектов капитального строительства</w:t>
      </w:r>
      <w:r>
        <w:t xml:space="preserve">,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 исключением жилищного и дорожного строительства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троительства объектов капитального строительства</w:t>
      </w:r>
      <w:r>
        <w:rPr>
          <w:b w:val="0"/>
          <w:bCs w:val="0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за исключением жилищного и дорожного строительства,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деятельность 50 субъектов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частной формы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 на 2025-2026 годы предусмотрены след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ующие мероприятия: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ониторинг федерального законодательства, приведение в соответствие с федеральным законодательством нормативных правовых актов города Нефтеюганска в сфере градостроительства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</w:rPr>
        <w:t xml:space="preserve">-о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беспечение опубликования и актуализации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Theme="minorHAnsi"/>
          <w:highlight w:val="none"/>
        </w:rPr>
      </w:r>
      <w:r>
        <w:rPr>
          <w:rFonts w:ascii="Times New Roman" w:hAnsi="Times New Roman" w:eastAsiaTheme="minorHAnsi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8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850"/>
        <w:gridCol w:w="1701"/>
        <w:gridCol w:w="1702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line="57" w:lineRule="atLeast"/>
            </w:pPr>
            <w:r>
              <w:rPr>
                <w:rFonts w:ascii="Times New Roman" w:hAnsi="Times New Roman" w:eastAsia="Times New Roman"/>
                <w:color w:val="000000"/>
              </w:rPr>
              <w:t xml:space="preserve">Доля организаций частной формы собственности в сфере строительства объектов капитального строительства, (за исключением жилищного и дорожного строительства)</w:t>
            </w:r>
            <w:r/>
            <w:r/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вию развитию конкуренции на рынке строительства объектов капитального строительства, за исключением жилищного и дорожного строительства, в муниципальном образовании  город Нефтеюганск определён департамент градостроительства и земельных отношений администрации города Нефтеюганска.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Департамент градостроительства и земельных отношений администрации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Нефтеюганск, 12 микрорайон, дом 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3463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dgizo@admugansk.ru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_769" w:customStyle="1">
    <w:name w:val="Прижатый влево"/>
    <w:basedOn w:val="713"/>
    <w:next w:val="71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cs="Times New Roman CYR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15</cp:revision>
  <dcterms:created xsi:type="dcterms:W3CDTF">2021-06-29T11:01:00Z</dcterms:created>
  <dcterms:modified xsi:type="dcterms:W3CDTF">2026-05-14T06:58:34Z</dcterms:modified>
</cp:coreProperties>
</file>