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Рынок сферы наружной рекламы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 муниципальном образовании город Нефтеюганск на 01.01.2026 в сфере </w:t>
      </w:r>
      <w:r>
        <w:rPr>
          <w:rFonts w:ascii="Times New Roman" w:hAnsi="Times New Roman" w:eastAsia="Times New Roman"/>
          <w:sz w:val="28"/>
          <w:szCs w:val="28"/>
        </w:rPr>
        <w:t xml:space="preserve">наружной рекламы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осуществляют деятельность </w:t>
      </w:r>
      <w:r>
        <w:rPr>
          <w:rFonts w:ascii="Times New Roman" w:hAnsi="Times New Roman" w:eastAsia="Times New Roman"/>
          <w:sz w:val="28"/>
          <w:szCs w:val="28"/>
        </w:rPr>
        <w:t xml:space="preserve">62</w:t>
      </w:r>
      <w:r>
        <w:rPr>
          <w:rFonts w:ascii="Times New Roman" w:hAnsi="Times New Roman" w:eastAsia="Times New Roman"/>
          <w:sz w:val="28"/>
          <w:szCs w:val="28"/>
        </w:rPr>
        <w:t xml:space="preserve"> субъекта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частной формы собственности (согласно реестру СМСП ФНС).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Планом мероприятий «дорожной картой» по содействию развитию конкуренции в городе Нефтеюганске» на 2025-2026 годы предусмотрены следующие мероприятия: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-в</w:t>
      </w:r>
      <w:r>
        <w:rPr>
          <w:rFonts w:ascii="Times New Roman" w:hAnsi="Times New Roman" w:eastAsia="Times New Roman"/>
          <w:sz w:val="28"/>
          <w:szCs w:val="28"/>
        </w:rPr>
        <w:t xml:space="preserve">ыявление и осуществление демонтажа незаконных рекламных конструкций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-а</w:t>
      </w:r>
      <w:r>
        <w:rPr>
          <w:rFonts w:ascii="Times New Roman" w:hAnsi="Times New Roman" w:eastAsia="Times New Roman"/>
          <w:sz w:val="28"/>
          <w:szCs w:val="28"/>
        </w:rPr>
        <w:t xml:space="preserve">ктуализация схем размещения рекламных конструкций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-р</w:t>
      </w:r>
      <w:r>
        <w:rPr>
          <w:rFonts w:ascii="Times New Roman" w:hAnsi="Times New Roman" w:eastAsia="Times New Roman"/>
          <w:sz w:val="28"/>
          <w:szCs w:val="28"/>
        </w:rPr>
        <w:t xml:space="preserve">азмещение на официальном сайте органов местного самоуправления правовых</w:t>
      </w:r>
      <w:r>
        <w:rPr>
          <w:rFonts w:ascii="Times New Roman" w:hAnsi="Times New Roman" w:eastAsia="Times New Roman"/>
          <w:sz w:val="28"/>
          <w:szCs w:val="28"/>
        </w:rPr>
        <w:t xml:space="preserve"> актов в сфере наружной рекламы;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-р</w:t>
      </w:r>
      <w:r>
        <w:rPr>
          <w:rFonts w:ascii="Times New Roman" w:hAnsi="Times New Roman" w:eastAsia="Times New Roman"/>
          <w:sz w:val="28"/>
          <w:szCs w:val="28"/>
        </w:rPr>
        <w:t xml:space="preserve">азмещение информации на официальных сайтах органов местного самоуправления о проведении торгов на право установки и эксплуатации рекламных конструкций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/>
          <w:sz w:val="28"/>
          <w:szCs w:val="28"/>
        </w:rPr>
        <w:t xml:space="preserve">роведение торгов на право установки и эксплуатации рекламных конструкций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-о</w:t>
      </w:r>
      <w:r>
        <w:rPr>
          <w:rFonts w:ascii="Times New Roman" w:hAnsi="Times New Roman" w:eastAsia="Times New Roman"/>
          <w:sz w:val="28"/>
          <w:szCs w:val="28"/>
        </w:rPr>
        <w:t xml:space="preserve">казание организационно-методической и информационно-консультативной помощи участникам рынка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-а</w:t>
      </w:r>
      <w:r>
        <w:rPr>
          <w:rFonts w:ascii="Times New Roman" w:hAnsi="Times New Roman" w:eastAsia="Times New Roman"/>
          <w:sz w:val="28"/>
          <w:szCs w:val="28"/>
        </w:rPr>
        <w:t xml:space="preserve">ктуализация Интерактивной карты по размещению рекламных конструкций на официальном сайте органов местного самоуправления, Инвестиционном портале города Нефтеюганска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/>
          <w:sz w:val="28"/>
          <w:szCs w:val="28"/>
        </w:rPr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709"/>
        <w:gridCol w:w="1843"/>
        <w:gridCol w:w="1839"/>
      </w:tblGrid>
      <w:tr>
        <w:tblPrEx/>
        <w:trPr>
          <w:trHeight w:val="619"/>
        </w:trPr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3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shd w:val="clear" w:color="auto" w:fill="auto"/>
            <w:tcW w:w="4819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11"/>
        </w:trPr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48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Доля организаций частной формы собственности в сфере наружной рекламы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tLeast"/>
        <w:rPr>
          <w:rFonts w:ascii="Times New Roman" w:hAnsi="Times New Roman" w:eastAsia="Times New Roman"/>
          <w:color w:val="14171e"/>
          <w:sz w:val="28"/>
          <w:szCs w:val="28"/>
        </w:rPr>
      </w:pPr>
      <w:r>
        <w:rPr>
          <w:rFonts w:ascii="Times New Roman" w:hAnsi="Times New Roman" w:eastAsia="Times New Roman"/>
          <w:color w:val="14171e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14171e"/>
          <w:sz w:val="28"/>
          <w:szCs w:val="28"/>
          <w:highlight w:val="none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/>
          <w:color w:val="14171e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14171e"/>
          <w:sz w:val="28"/>
          <w:szCs w:val="28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сферы наружной рекламы в городе Нефтеюганске определен департамент </w:t>
      </w:r>
      <w:r>
        <w:rPr>
          <w:rFonts w:ascii="Times New Roman" w:hAnsi="Times New Roman" w:eastAsia="Times New Roman"/>
          <w:color w:val="14171e"/>
          <w:sz w:val="28"/>
          <w:szCs w:val="28"/>
        </w:rPr>
        <w:t xml:space="preserve">градостроительства и земельных отношений</w:t>
      </w:r>
      <w:r>
        <w:rPr>
          <w:rFonts w:ascii="Times New Roman" w:hAnsi="Times New Roman" w:eastAsia="Times New Roman"/>
          <w:color w:val="14171e"/>
          <w:sz w:val="28"/>
          <w:szCs w:val="28"/>
        </w:rPr>
        <w:t xml:space="preserve"> администрации города Нефтеюганска.</w:t>
      </w:r>
      <w:r>
        <w:rPr>
          <w:rFonts w:ascii="Times New Roman" w:hAnsi="Times New Roman" w:eastAsia="Times New Roman"/>
          <w:color w:val="14171e"/>
          <w:sz w:val="28"/>
          <w:szCs w:val="28"/>
          <w:highlight w:val="none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/>
          <w:color w:val="14171e"/>
          <w:sz w:val="28"/>
          <w:szCs w:val="28"/>
        </w:rPr>
      </w:pPr>
      <w:r>
        <w:rPr>
          <w:rFonts w:ascii="Times New Roman" w:hAnsi="Times New Roman" w:eastAsia="Times New Roman"/>
          <w:color w:val="14171e"/>
          <w:sz w:val="28"/>
          <w:szCs w:val="28"/>
        </w:rPr>
      </w:r>
      <w:r>
        <w:rPr>
          <w:rFonts w:ascii="Times New Roman" w:hAnsi="Times New Roman" w:eastAsia="Times New Roman"/>
          <w:color w:val="14171e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u w:val="single"/>
        </w:rPr>
        <w:t xml:space="preserve">КОНТАКТЫ: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single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Департамент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градостроительства и земельных отношений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администрации города Нефтеюганска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адрес: г. Нефтею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ганск, 12 микрорайон, 26 дом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телефон: 8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3463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22 73 09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электрон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ная почта: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dgizo@admugansk.ru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53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200" w:line="276" w:lineRule="auto"/>
    </w:pPr>
    <w:rPr>
      <w:rFonts w:cs="Times New Roman" w:eastAsiaTheme="minorEastAsia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соц экон прогнозов</dc:creator>
  <cp:keywords/>
  <dc:description/>
  <cp:lastModifiedBy>Boldyrevaoa</cp:lastModifiedBy>
  <cp:revision>26</cp:revision>
  <dcterms:created xsi:type="dcterms:W3CDTF">2021-06-29T05:46:00Z</dcterms:created>
  <dcterms:modified xsi:type="dcterms:W3CDTF">2026-05-13T10:04:07Z</dcterms:modified>
</cp:coreProperties>
</file>