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CCF" w:rsidRDefault="00735CCF" w:rsidP="00735CCF">
      <w:pPr>
        <w:pStyle w:val="1"/>
        <w:shd w:val="clear" w:color="auto" w:fill="auto"/>
        <w:tabs>
          <w:tab w:val="left" w:pos="709"/>
          <w:tab w:val="left" w:pos="993"/>
          <w:tab w:val="left" w:pos="1192"/>
        </w:tabs>
        <w:ind w:firstLine="0"/>
        <w:jc w:val="both"/>
        <w:rPr>
          <w:b/>
          <w:sz w:val="28"/>
          <w:szCs w:val="28"/>
        </w:rPr>
      </w:pPr>
      <w:r>
        <w:rPr>
          <w:sz w:val="28"/>
          <w:szCs w:val="28"/>
        </w:rPr>
        <w:t>2.</w:t>
      </w:r>
      <w:proofErr w:type="gramStart"/>
      <w:r>
        <w:rPr>
          <w:sz w:val="28"/>
          <w:szCs w:val="28"/>
        </w:rPr>
        <w:t>7.Перечень</w:t>
      </w:r>
      <w:proofErr w:type="gramEnd"/>
      <w:r>
        <w:rPr>
          <w:sz w:val="28"/>
          <w:szCs w:val="28"/>
        </w:rPr>
        <w:t xml:space="preserve"> документов, представляемых участниками отбора </w:t>
      </w:r>
    </w:p>
    <w:p w:rsidR="00735CCF" w:rsidRDefault="00735CCF" w:rsidP="00735CCF">
      <w:pPr>
        <w:pStyle w:val="1"/>
        <w:shd w:val="clear" w:color="auto" w:fill="auto"/>
        <w:tabs>
          <w:tab w:val="left" w:pos="709"/>
          <w:tab w:val="left" w:pos="850"/>
          <w:tab w:val="left" w:pos="1355"/>
        </w:tabs>
        <w:ind w:firstLine="0"/>
        <w:jc w:val="both"/>
        <w:rPr>
          <w:sz w:val="28"/>
          <w:szCs w:val="28"/>
        </w:rPr>
      </w:pPr>
      <w:r>
        <w:rPr>
          <w:sz w:val="28"/>
          <w:szCs w:val="28"/>
        </w:rPr>
        <w:t xml:space="preserve">          2.7.</w:t>
      </w:r>
      <w:proofErr w:type="gramStart"/>
      <w:r>
        <w:rPr>
          <w:sz w:val="28"/>
          <w:szCs w:val="28"/>
        </w:rPr>
        <w:t>1.Для</w:t>
      </w:r>
      <w:proofErr w:type="gramEnd"/>
      <w:r>
        <w:rPr>
          <w:sz w:val="28"/>
          <w:szCs w:val="28"/>
        </w:rPr>
        <w:t xml:space="preserve"> юридических лиц:</w:t>
      </w:r>
    </w:p>
    <w:p w:rsidR="00735CCF" w:rsidRDefault="00735CCF" w:rsidP="00735CCF">
      <w:pPr>
        <w:pStyle w:val="1"/>
        <w:shd w:val="clear" w:color="auto" w:fill="auto"/>
        <w:tabs>
          <w:tab w:val="left" w:pos="1503"/>
        </w:tabs>
        <w:jc w:val="both"/>
        <w:rPr>
          <w:sz w:val="28"/>
          <w:szCs w:val="28"/>
        </w:rPr>
      </w:pPr>
      <w:r>
        <w:rPr>
          <w:sz w:val="28"/>
          <w:szCs w:val="28"/>
        </w:rPr>
        <w:t xml:space="preserve">    - документы по описи по форме согласно </w:t>
      </w:r>
      <w:hyperlink w:anchor="bookmark72" w:tooltip="Current Document" w:history="1">
        <w:r>
          <w:rPr>
            <w:rFonts w:eastAsia="Arial"/>
            <w:sz w:val="28"/>
            <w:szCs w:val="28"/>
          </w:rPr>
          <w:t>приложению 1</w:t>
        </w:r>
      </w:hyperlink>
      <w:r>
        <w:rPr>
          <w:rFonts w:eastAsia="Arial"/>
          <w:sz w:val="28"/>
          <w:szCs w:val="28"/>
        </w:rPr>
        <w:t xml:space="preserve"> </w:t>
      </w:r>
      <w:r>
        <w:rPr>
          <w:sz w:val="28"/>
          <w:szCs w:val="28"/>
        </w:rPr>
        <w:t>к Порядку с обязательным заполнением всех полей заявки;</w:t>
      </w:r>
    </w:p>
    <w:p w:rsidR="00735CCF" w:rsidRDefault="00735CCF" w:rsidP="00735CCF">
      <w:pPr>
        <w:pStyle w:val="1"/>
        <w:shd w:val="clear" w:color="auto" w:fill="auto"/>
        <w:tabs>
          <w:tab w:val="left" w:pos="709"/>
          <w:tab w:val="left" w:pos="1503"/>
        </w:tabs>
        <w:ind w:firstLine="0"/>
        <w:jc w:val="both"/>
        <w:rPr>
          <w:sz w:val="28"/>
          <w:szCs w:val="28"/>
        </w:rPr>
      </w:pPr>
      <w:r>
        <w:rPr>
          <w:sz w:val="28"/>
          <w:szCs w:val="28"/>
        </w:rPr>
        <w:t xml:space="preserve">          - документ, подтверждающий полномочия лица на осуществление действий от имени организации (решение о назначении или об избрании либо приказ о назначении физического лица на должность, в соответствии с которыми такое физическое лицо обладает правом действовать от имени организации без доверенности (далее - руководитель). В случае если от имени организации действует уполномоченное лицо, к заявке прилагается доверенность, заверенная печатью, либо засвидетельствованная в нотариальном порядке копия указанной доверенности.</w:t>
      </w:r>
    </w:p>
    <w:p w:rsidR="00735CCF" w:rsidRDefault="00735CCF" w:rsidP="00735CCF">
      <w:pPr>
        <w:pStyle w:val="1"/>
        <w:shd w:val="clear" w:color="auto" w:fill="auto"/>
        <w:tabs>
          <w:tab w:val="left" w:pos="709"/>
          <w:tab w:val="left" w:pos="1503"/>
        </w:tabs>
        <w:ind w:firstLine="0"/>
        <w:jc w:val="both"/>
        <w:rPr>
          <w:sz w:val="28"/>
          <w:szCs w:val="28"/>
        </w:rPr>
      </w:pPr>
      <w:r>
        <w:rPr>
          <w:sz w:val="28"/>
          <w:szCs w:val="28"/>
        </w:rPr>
        <w:tab/>
        <w:t>В случае если указанная доверенность подписана лицом, уполномоченным руководителем, к заявке о предоставлении субсидии прилагается также документ, подтверждающий полномочия такого лица;</w:t>
      </w:r>
    </w:p>
    <w:p w:rsidR="00735CCF" w:rsidRDefault="00735CCF" w:rsidP="00735CCF">
      <w:pPr>
        <w:pStyle w:val="1"/>
        <w:shd w:val="clear" w:color="auto" w:fill="auto"/>
        <w:tabs>
          <w:tab w:val="left" w:pos="1498"/>
        </w:tabs>
        <w:jc w:val="both"/>
        <w:rPr>
          <w:sz w:val="28"/>
          <w:szCs w:val="28"/>
        </w:rPr>
      </w:pPr>
      <w:r>
        <w:rPr>
          <w:sz w:val="28"/>
          <w:szCs w:val="28"/>
        </w:rPr>
        <w:t xml:space="preserve">    -справка (уведомление, письмо, выписка (в том числе полученная с помощью личного онлайн-кабинета кредитной организации), карточка предприятия) об открытии в учреждениях Центрального банка Российской Федерации кредитных организациях расчетного счета с указанием банковских реквизитов, на которые подлежит перечислению субсидия;</w:t>
      </w:r>
    </w:p>
    <w:p w:rsidR="00735CCF" w:rsidRDefault="00735CCF" w:rsidP="00735CCF">
      <w:pPr>
        <w:pStyle w:val="1"/>
        <w:shd w:val="clear" w:color="auto" w:fill="auto"/>
        <w:tabs>
          <w:tab w:val="left" w:pos="1518"/>
        </w:tabs>
        <w:jc w:val="both"/>
        <w:rPr>
          <w:sz w:val="28"/>
          <w:szCs w:val="28"/>
        </w:rPr>
      </w:pPr>
      <w:r>
        <w:rPr>
          <w:sz w:val="28"/>
          <w:szCs w:val="28"/>
        </w:rPr>
        <w:t xml:space="preserve">    - документы, подтверждающие произведенные расходы субъектом:</w:t>
      </w:r>
    </w:p>
    <w:p w:rsidR="00735CCF" w:rsidRDefault="00735CCF" w:rsidP="00735CCF">
      <w:pPr>
        <w:pStyle w:val="1"/>
        <w:shd w:val="clear" w:color="auto" w:fill="auto"/>
        <w:tabs>
          <w:tab w:val="left" w:pos="709"/>
        </w:tabs>
        <w:jc w:val="both"/>
        <w:rPr>
          <w:sz w:val="28"/>
          <w:szCs w:val="28"/>
        </w:rPr>
      </w:pPr>
      <w:r>
        <w:rPr>
          <w:sz w:val="28"/>
          <w:szCs w:val="28"/>
        </w:rPr>
        <w:t xml:space="preserve">    -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 для приемки всех выполненных строительно-монтажных работ различного назначения акт о приемке выполненных работ (</w:t>
      </w:r>
      <w:hyperlink r:id="rId4" w:tooltip="https://internet.garant.ru/document/redirect/12117360/1000" w:history="1">
        <w:r>
          <w:rPr>
            <w:rFonts w:eastAsia="Arial"/>
            <w:sz w:val="28"/>
            <w:szCs w:val="28"/>
          </w:rPr>
          <w:t xml:space="preserve">форма </w:t>
        </w:r>
        <w:r>
          <w:rPr>
            <w:rFonts w:eastAsia="Arial"/>
            <w:sz w:val="28"/>
            <w:szCs w:val="28"/>
            <w:lang w:bidi="en-US"/>
          </w:rPr>
          <w:t xml:space="preserve">№ </w:t>
        </w:r>
        <w:r>
          <w:rPr>
            <w:rFonts w:eastAsia="Arial"/>
            <w:sz w:val="28"/>
            <w:szCs w:val="28"/>
          </w:rPr>
          <w:t>КС-2</w:t>
        </w:r>
      </w:hyperlink>
      <w:r>
        <w:rPr>
          <w:sz w:val="28"/>
          <w:szCs w:val="28"/>
        </w:rPr>
        <w:t>) и справка о стоимости выполненных работ (</w:t>
      </w:r>
      <w:hyperlink r:id="rId5" w:tooltip="https://internet.garant.ru/document/redirect/12117360/2000" w:history="1">
        <w:r>
          <w:rPr>
            <w:rFonts w:eastAsia="Arial"/>
            <w:sz w:val="28"/>
            <w:szCs w:val="28"/>
          </w:rPr>
          <w:t xml:space="preserve">форма </w:t>
        </w:r>
        <w:r>
          <w:rPr>
            <w:rFonts w:eastAsia="Arial"/>
            <w:sz w:val="28"/>
            <w:szCs w:val="28"/>
            <w:lang w:bidi="en-US"/>
          </w:rPr>
          <w:t xml:space="preserve">№ </w:t>
        </w:r>
        <w:r>
          <w:rPr>
            <w:rFonts w:eastAsia="Arial"/>
            <w:sz w:val="28"/>
            <w:szCs w:val="28"/>
          </w:rPr>
          <w:t>КС-3</w:t>
        </w:r>
      </w:hyperlink>
      <w:r>
        <w:rPr>
          <w:sz w:val="28"/>
          <w:szCs w:val="28"/>
        </w:rPr>
        <w:t>), документы, подтверждающие факт оплаты, а именно: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735CCF" w:rsidRDefault="00735CCF" w:rsidP="00735CCF">
      <w:pPr>
        <w:pStyle w:val="1"/>
        <w:shd w:val="clear" w:color="auto" w:fill="auto"/>
        <w:tabs>
          <w:tab w:val="left" w:pos="709"/>
        </w:tabs>
        <w:ind w:firstLine="0"/>
        <w:jc w:val="both"/>
        <w:rPr>
          <w:sz w:val="28"/>
          <w:szCs w:val="28"/>
        </w:rPr>
      </w:pPr>
      <w:r>
        <w:rPr>
          <w:sz w:val="28"/>
          <w:szCs w:val="28"/>
        </w:rPr>
        <w:tab/>
        <w:t xml:space="preserve">Документы, подтверждающие произведенные затраты, должны соответствовать требованиям </w:t>
      </w:r>
      <w:hyperlink r:id="rId6" w:tooltip="https://internet.garant.ru/document/redirect/70103036/0" w:history="1">
        <w:r>
          <w:rPr>
            <w:rStyle w:val="a3"/>
            <w:sz w:val="28"/>
            <w:szCs w:val="28"/>
          </w:rPr>
          <w:t>Федерального закона</w:t>
        </w:r>
      </w:hyperlink>
      <w:r>
        <w:rPr>
          <w:sz w:val="28"/>
          <w:szCs w:val="28"/>
        </w:rPr>
        <w:t xml:space="preserve"> от 06.12.2011 № 402-ФЗ «О бухгалтерском учете».</w:t>
      </w:r>
    </w:p>
    <w:p w:rsidR="00735CCF" w:rsidRDefault="00735CCF" w:rsidP="00735CCF">
      <w:pPr>
        <w:spacing w:after="0" w:line="240" w:lineRule="auto"/>
        <w:ind w:firstLine="708"/>
        <w:jc w:val="both"/>
        <w:rPr>
          <w:rFonts w:ascii="Times New Roman" w:hAnsi="Times New Roman"/>
          <w:sz w:val="28"/>
          <w:szCs w:val="28"/>
        </w:rPr>
      </w:pPr>
      <w:r>
        <w:rPr>
          <w:rFonts w:ascii="Times New Roman" w:hAnsi="Times New Roman"/>
          <w:sz w:val="28"/>
          <w:szCs w:val="28"/>
        </w:rPr>
        <w:t>2.7.</w:t>
      </w:r>
      <w:proofErr w:type="gramStart"/>
      <w:r>
        <w:rPr>
          <w:rFonts w:ascii="Times New Roman" w:hAnsi="Times New Roman"/>
          <w:sz w:val="28"/>
          <w:szCs w:val="28"/>
        </w:rPr>
        <w:t>2.Для</w:t>
      </w:r>
      <w:proofErr w:type="gramEnd"/>
      <w:r>
        <w:rPr>
          <w:rFonts w:ascii="Times New Roman" w:hAnsi="Times New Roman"/>
          <w:sz w:val="28"/>
          <w:szCs w:val="28"/>
        </w:rPr>
        <w:t xml:space="preserve"> индивидуальных предпринимателей:</w:t>
      </w:r>
    </w:p>
    <w:p w:rsidR="00735CCF" w:rsidRDefault="00735CCF" w:rsidP="00735CCF">
      <w:pPr>
        <w:pStyle w:val="1"/>
        <w:shd w:val="clear" w:color="auto" w:fill="auto"/>
        <w:tabs>
          <w:tab w:val="left" w:pos="1498"/>
        </w:tabs>
        <w:jc w:val="both"/>
        <w:rPr>
          <w:sz w:val="28"/>
          <w:szCs w:val="28"/>
        </w:rPr>
      </w:pPr>
      <w:r>
        <w:rPr>
          <w:sz w:val="28"/>
          <w:szCs w:val="28"/>
        </w:rPr>
        <w:t xml:space="preserve">     -документы по описи по форме согласно </w:t>
      </w:r>
      <w:hyperlink w:anchor="bookmark72" w:tooltip="Current Document" w:history="1">
        <w:r>
          <w:rPr>
            <w:rFonts w:eastAsia="Arial"/>
            <w:sz w:val="28"/>
            <w:szCs w:val="28"/>
          </w:rPr>
          <w:t>приложению 1</w:t>
        </w:r>
      </w:hyperlink>
      <w:r>
        <w:rPr>
          <w:rFonts w:eastAsia="Arial"/>
          <w:sz w:val="28"/>
          <w:szCs w:val="28"/>
        </w:rPr>
        <w:t xml:space="preserve"> </w:t>
      </w:r>
      <w:r>
        <w:rPr>
          <w:sz w:val="28"/>
          <w:szCs w:val="28"/>
        </w:rPr>
        <w:t>к Порядку с обязательным заполнением всех полей заявки;</w:t>
      </w:r>
    </w:p>
    <w:p w:rsidR="00735CCF" w:rsidRDefault="00735CCF" w:rsidP="00735CCF">
      <w:pPr>
        <w:pStyle w:val="1"/>
        <w:shd w:val="clear" w:color="auto" w:fill="auto"/>
        <w:tabs>
          <w:tab w:val="left" w:pos="1518"/>
        </w:tabs>
        <w:jc w:val="both"/>
        <w:rPr>
          <w:sz w:val="28"/>
          <w:szCs w:val="28"/>
        </w:rPr>
      </w:pPr>
      <w:r>
        <w:rPr>
          <w:sz w:val="28"/>
          <w:szCs w:val="28"/>
        </w:rPr>
        <w:t xml:space="preserve">     -копия всех страниц паспорта гражданина Российской Федерации;</w:t>
      </w:r>
    </w:p>
    <w:p w:rsidR="00735CCF" w:rsidRDefault="00735CCF" w:rsidP="00735CCF">
      <w:pPr>
        <w:pStyle w:val="1"/>
        <w:shd w:val="clear" w:color="auto" w:fill="auto"/>
        <w:tabs>
          <w:tab w:val="left" w:pos="1518"/>
        </w:tabs>
        <w:ind w:left="740" w:firstLine="0"/>
        <w:jc w:val="both"/>
        <w:rPr>
          <w:sz w:val="28"/>
          <w:szCs w:val="28"/>
        </w:rPr>
      </w:pPr>
      <w:r>
        <w:rPr>
          <w:sz w:val="28"/>
          <w:szCs w:val="28"/>
        </w:rPr>
        <w:t>-доверенность, в случае если от имени заявителя действует иное лицо;</w:t>
      </w:r>
    </w:p>
    <w:p w:rsidR="00735CCF" w:rsidRDefault="00735CCF" w:rsidP="00735CCF">
      <w:pPr>
        <w:pStyle w:val="1"/>
        <w:shd w:val="clear" w:color="auto" w:fill="auto"/>
        <w:tabs>
          <w:tab w:val="left" w:pos="778"/>
        </w:tabs>
        <w:jc w:val="both"/>
        <w:rPr>
          <w:sz w:val="28"/>
          <w:szCs w:val="28"/>
        </w:rPr>
      </w:pPr>
      <w:r>
        <w:rPr>
          <w:sz w:val="28"/>
          <w:szCs w:val="28"/>
        </w:rPr>
        <w:t xml:space="preserve">     -документы, подтверждающие произведенные расходы субъектом: договор (при наличии), счет (при наличии), акт выполненных работ (оказанных услуг), либо товарная накладная или универсальный передаточный документ (который можно использовать вместо первичного документа) (при наличии), для приемки всех выполненных строительно-</w:t>
      </w:r>
      <w:r>
        <w:rPr>
          <w:sz w:val="28"/>
          <w:szCs w:val="28"/>
        </w:rPr>
        <w:lastRenderedPageBreak/>
        <w:t>монтажных работ различного назначения акт о приемке выполненных работ (</w:t>
      </w:r>
      <w:hyperlink r:id="rId7" w:tooltip="https://internet.garant.ru/document/redirect/12117360/1000" w:history="1">
        <w:r>
          <w:rPr>
            <w:rFonts w:eastAsia="Arial"/>
            <w:sz w:val="28"/>
            <w:szCs w:val="28"/>
          </w:rPr>
          <w:t xml:space="preserve">форма </w:t>
        </w:r>
        <w:r>
          <w:rPr>
            <w:rFonts w:eastAsia="Arial"/>
            <w:sz w:val="28"/>
            <w:szCs w:val="28"/>
            <w:lang w:bidi="en-US"/>
          </w:rPr>
          <w:t xml:space="preserve">№ </w:t>
        </w:r>
        <w:r>
          <w:rPr>
            <w:rFonts w:eastAsia="Arial"/>
            <w:sz w:val="28"/>
            <w:szCs w:val="28"/>
          </w:rPr>
          <w:t>КС-2</w:t>
        </w:r>
      </w:hyperlink>
      <w:r>
        <w:rPr>
          <w:sz w:val="28"/>
          <w:szCs w:val="28"/>
        </w:rPr>
        <w:t>) и справка о стоимости выполненных работ (</w:t>
      </w:r>
      <w:hyperlink r:id="rId8" w:tooltip="https://internet.garant.ru/document/redirect/12117360/2000" w:history="1">
        <w:r>
          <w:rPr>
            <w:rFonts w:eastAsia="Arial"/>
            <w:sz w:val="28"/>
            <w:szCs w:val="28"/>
          </w:rPr>
          <w:t>форма</w:t>
        </w:r>
      </w:hyperlink>
      <w:r>
        <w:rPr>
          <w:rFonts w:eastAsia="Arial"/>
          <w:sz w:val="28"/>
          <w:szCs w:val="28"/>
        </w:rPr>
        <w:t xml:space="preserve"> </w:t>
      </w:r>
      <w:hyperlink r:id="rId9" w:tooltip="https://internet.garant.ru/document/redirect/12117360/2000" w:history="1">
        <w:r>
          <w:rPr>
            <w:rFonts w:eastAsia="Arial"/>
            <w:sz w:val="28"/>
            <w:szCs w:val="28"/>
            <w:lang w:bidi="en-US"/>
          </w:rPr>
          <w:t xml:space="preserve">№ </w:t>
        </w:r>
        <w:r>
          <w:rPr>
            <w:rFonts w:eastAsia="Arial"/>
            <w:sz w:val="28"/>
            <w:szCs w:val="28"/>
          </w:rPr>
          <w:t>КС-3</w:t>
        </w:r>
      </w:hyperlink>
      <w:r>
        <w:rPr>
          <w:sz w:val="28"/>
          <w:szCs w:val="28"/>
        </w:rPr>
        <w:t>), документы, подтверждающие факт оплаты, а именно: чеки контрольно-кассовой техники, слипы, чеки электронных терминалов при проведении операций с использованием банковской карты или платежное поручение с отметкой банка об исполнении, или бланк строгой отчетности, свидетельствующий о фактически произведенных расходах.</w:t>
      </w:r>
    </w:p>
    <w:p w:rsidR="00735CCF" w:rsidRDefault="00735CCF" w:rsidP="00735CCF">
      <w:pPr>
        <w:pStyle w:val="1"/>
        <w:shd w:val="clear" w:color="auto" w:fill="auto"/>
        <w:tabs>
          <w:tab w:val="left" w:pos="709"/>
        </w:tabs>
        <w:ind w:firstLine="0"/>
        <w:jc w:val="both"/>
        <w:rPr>
          <w:sz w:val="28"/>
          <w:szCs w:val="28"/>
        </w:rPr>
      </w:pPr>
      <w:r>
        <w:rPr>
          <w:sz w:val="28"/>
          <w:szCs w:val="28"/>
        </w:rPr>
        <w:t xml:space="preserve">          Документы, подтверждающие произведенные затраты, должны соответствовать требованиям </w:t>
      </w:r>
      <w:hyperlink r:id="rId10" w:tooltip="https://internet.garant.ru/document/redirect/70103036/0" w:history="1">
        <w:r>
          <w:rPr>
            <w:rFonts w:eastAsia="Arial"/>
            <w:sz w:val="28"/>
            <w:szCs w:val="28"/>
          </w:rPr>
          <w:t>Федерального закона</w:t>
        </w:r>
      </w:hyperlink>
      <w:r>
        <w:rPr>
          <w:rFonts w:eastAsia="Arial"/>
          <w:sz w:val="28"/>
          <w:szCs w:val="28"/>
        </w:rPr>
        <w:t xml:space="preserve"> </w:t>
      </w:r>
      <w:r>
        <w:rPr>
          <w:sz w:val="28"/>
          <w:szCs w:val="28"/>
        </w:rPr>
        <w:t xml:space="preserve">от 06.12.2011 </w:t>
      </w:r>
      <w:r>
        <w:rPr>
          <w:sz w:val="28"/>
          <w:szCs w:val="28"/>
          <w:lang w:bidi="en-US"/>
        </w:rPr>
        <w:t xml:space="preserve">№ </w:t>
      </w:r>
      <w:r>
        <w:rPr>
          <w:sz w:val="28"/>
          <w:szCs w:val="28"/>
        </w:rPr>
        <w:t>402-ФЗ «О бухгалтерском учете».</w:t>
      </w:r>
    </w:p>
    <w:p w:rsidR="00735CCF" w:rsidRDefault="00735CCF" w:rsidP="00735CCF">
      <w:pPr>
        <w:pStyle w:val="1"/>
        <w:shd w:val="clear" w:color="auto" w:fill="auto"/>
        <w:tabs>
          <w:tab w:val="left" w:pos="1522"/>
        </w:tabs>
        <w:jc w:val="both"/>
        <w:rPr>
          <w:sz w:val="28"/>
          <w:szCs w:val="28"/>
        </w:rPr>
      </w:pPr>
      <w:r>
        <w:rPr>
          <w:sz w:val="28"/>
          <w:szCs w:val="28"/>
        </w:rPr>
        <w:t xml:space="preserve">     карточка предприятия с указанием банковских реквизитов на которые подлежит перечислению субсидия.</w:t>
      </w:r>
    </w:p>
    <w:p w:rsidR="00735CCF" w:rsidRDefault="00735CCF" w:rsidP="00735CCF">
      <w:pPr>
        <w:pStyle w:val="1"/>
        <w:shd w:val="clear" w:color="auto" w:fill="auto"/>
        <w:tabs>
          <w:tab w:val="left" w:pos="709"/>
          <w:tab w:val="left" w:pos="1340"/>
        </w:tabs>
        <w:jc w:val="both"/>
        <w:rPr>
          <w:sz w:val="28"/>
          <w:szCs w:val="28"/>
        </w:rPr>
      </w:pPr>
      <w:r>
        <w:rPr>
          <w:sz w:val="28"/>
          <w:szCs w:val="28"/>
        </w:rPr>
        <w:t xml:space="preserve">     2.</w:t>
      </w:r>
      <w:proofErr w:type="gramStart"/>
      <w:r>
        <w:rPr>
          <w:sz w:val="28"/>
          <w:szCs w:val="28"/>
        </w:rPr>
        <w:t>8.Субъект</w:t>
      </w:r>
      <w:proofErr w:type="gramEnd"/>
      <w:r>
        <w:rPr>
          <w:sz w:val="28"/>
          <w:szCs w:val="28"/>
        </w:rPr>
        <w:t>, заявившийся на возмещение части затрат по приобретению лицензионных программных продуктов, предоставляет документ, подтверждающий, что приобретенный продукт является лицензионным (лицензии и (или) лицензионное соглашение).</w:t>
      </w:r>
    </w:p>
    <w:p w:rsidR="00735CCF" w:rsidRDefault="00735CCF" w:rsidP="00735CCF">
      <w:pPr>
        <w:pStyle w:val="1"/>
        <w:shd w:val="clear" w:color="auto" w:fill="auto"/>
        <w:tabs>
          <w:tab w:val="left" w:pos="709"/>
          <w:tab w:val="left" w:pos="1335"/>
        </w:tabs>
        <w:jc w:val="both"/>
        <w:rPr>
          <w:sz w:val="28"/>
          <w:szCs w:val="28"/>
        </w:rPr>
      </w:pPr>
      <w:r>
        <w:rPr>
          <w:sz w:val="28"/>
          <w:szCs w:val="28"/>
        </w:rPr>
        <w:t xml:space="preserve">     2.</w:t>
      </w:r>
      <w:proofErr w:type="gramStart"/>
      <w:r>
        <w:rPr>
          <w:sz w:val="28"/>
          <w:szCs w:val="28"/>
        </w:rPr>
        <w:t>9.Субъект</w:t>
      </w:r>
      <w:proofErr w:type="gramEnd"/>
      <w:r>
        <w:rPr>
          <w:sz w:val="28"/>
          <w:szCs w:val="28"/>
        </w:rPr>
        <w:t>, заявившийся на возмещение части затрат на приобретение нового оборудования (основных средств), предоставляет техническую документацию, содержащую информацию о дате изготовления оборудования (основных средств).</w:t>
      </w:r>
    </w:p>
    <w:p w:rsidR="00735CCF" w:rsidRDefault="00735CCF" w:rsidP="00735CCF">
      <w:pPr>
        <w:pStyle w:val="1"/>
        <w:shd w:val="clear" w:color="auto" w:fill="auto"/>
        <w:tabs>
          <w:tab w:val="left" w:pos="709"/>
          <w:tab w:val="left" w:pos="850"/>
        </w:tabs>
        <w:ind w:firstLine="0"/>
        <w:jc w:val="both"/>
        <w:rPr>
          <w:sz w:val="28"/>
          <w:szCs w:val="28"/>
        </w:rPr>
      </w:pPr>
      <w:r>
        <w:rPr>
          <w:sz w:val="28"/>
          <w:szCs w:val="28"/>
        </w:rPr>
        <w:t xml:space="preserve">          Если в технической документации изготовителя содержится противоречивая информация о дате изготовления либо отсутствует информация изготовителя оборудования (основных средств) о дате изготовления, то следует считать это оборудование (основные средства) оборудованием (основным средством), с момента выпуска которого прошло более 2 лет.</w:t>
      </w:r>
    </w:p>
    <w:p w:rsidR="00735CCF" w:rsidRDefault="00735CCF" w:rsidP="00735CCF">
      <w:pPr>
        <w:pStyle w:val="1"/>
        <w:shd w:val="clear" w:color="auto" w:fill="auto"/>
        <w:tabs>
          <w:tab w:val="left" w:pos="1340"/>
        </w:tabs>
        <w:jc w:val="both"/>
        <w:rPr>
          <w:sz w:val="28"/>
          <w:szCs w:val="28"/>
        </w:rPr>
      </w:pPr>
      <w:r>
        <w:rPr>
          <w:sz w:val="28"/>
          <w:szCs w:val="28"/>
        </w:rPr>
        <w:t xml:space="preserve">    2.10.Субъект, заявившийся на возмещение части затрат на аренду (субаренду) нежилых помещений, расположенных на территории города Нефтеюганска (за исключением нежилых помещений, находящихся в государственной и муниципальной собственности, включенных в перечни имущества в соответствии с </w:t>
      </w:r>
      <w:hyperlink r:id="rId11" w:tooltip="https://internet.garant.ru/document/redirect/12154854/0" w:history="1">
        <w:r>
          <w:rPr>
            <w:rFonts w:eastAsia="Arial"/>
            <w:sz w:val="28"/>
            <w:szCs w:val="28"/>
          </w:rPr>
          <w:t>Федеральным законом</w:t>
        </w:r>
      </w:hyperlink>
      <w:r>
        <w:rPr>
          <w:rFonts w:eastAsia="Arial"/>
          <w:sz w:val="28"/>
          <w:szCs w:val="28"/>
        </w:rPr>
        <w:t xml:space="preserve"> </w:t>
      </w:r>
      <w:r>
        <w:rPr>
          <w:sz w:val="28"/>
          <w:szCs w:val="28"/>
          <w:lang w:bidi="en-US"/>
        </w:rPr>
        <w:t xml:space="preserve">№ </w:t>
      </w:r>
      <w:r>
        <w:rPr>
          <w:sz w:val="28"/>
          <w:szCs w:val="28"/>
        </w:rPr>
        <w:t>209-ФЗ), в случае заключения договора аренды нежилого помещения более чем на 11 месяцев, предоставляет копию договора, зарегистрированного в Управлении Федеральной службы государственной регистрации, кадастра и картографии по Ханты-Мансийскому автономному округу - Югре.</w:t>
      </w:r>
    </w:p>
    <w:p w:rsidR="00735CCF" w:rsidRDefault="00735CCF" w:rsidP="00735CCF">
      <w:pPr>
        <w:pStyle w:val="a4"/>
        <w:ind w:firstLine="400"/>
        <w:jc w:val="both"/>
        <w:rPr>
          <w:rFonts w:ascii="Times New Roman" w:hAnsi="Times New Roman" w:cs="Times New Roman"/>
          <w:sz w:val="28"/>
          <w:szCs w:val="28"/>
        </w:rPr>
      </w:pPr>
      <w:r>
        <w:rPr>
          <w:rFonts w:ascii="Times New Roman" w:hAnsi="Times New Roman" w:cs="Times New Roman"/>
          <w:sz w:val="28"/>
          <w:szCs w:val="28"/>
        </w:rPr>
        <w:t xml:space="preserve">    2.11.К частичному возмещению затрат допускается предоставление документов, подтверждающих приобретение нового оборудования (основных средств) и лицензионных программных продуктов, а также производственного инвентаря через платформы </w:t>
      </w:r>
      <w:proofErr w:type="spellStart"/>
      <w:r>
        <w:rPr>
          <w:rFonts w:ascii="Times New Roman" w:hAnsi="Times New Roman" w:cs="Times New Roman"/>
          <w:sz w:val="28"/>
          <w:szCs w:val="28"/>
        </w:rPr>
        <w:t>маркетплейсов</w:t>
      </w:r>
      <w:proofErr w:type="spellEnd"/>
      <w:r>
        <w:rPr>
          <w:rFonts w:ascii="Times New Roman" w:hAnsi="Times New Roman" w:cs="Times New Roman"/>
          <w:sz w:val="28"/>
          <w:szCs w:val="28"/>
        </w:rPr>
        <w:t xml:space="preserve">. </w:t>
      </w:r>
    </w:p>
    <w:p w:rsidR="00735CCF" w:rsidRDefault="00735CCF" w:rsidP="00735CCF">
      <w:pPr>
        <w:pStyle w:val="1"/>
        <w:shd w:val="clear" w:color="auto" w:fill="auto"/>
        <w:ind w:firstLine="0"/>
        <w:jc w:val="both"/>
        <w:rPr>
          <w:sz w:val="28"/>
          <w:szCs w:val="28"/>
        </w:rPr>
      </w:pPr>
      <w:r>
        <w:rPr>
          <w:sz w:val="28"/>
          <w:szCs w:val="28"/>
        </w:rPr>
        <w:t xml:space="preserve">          В этом случае документы, подтверждающие приобретение нового оборудования (основных средств), лицензионных программных продуктов, а так же производственного инвентаря, должны соответствовать перечню документов, указанных в пунктах 2.7.1 и 2.7.2 Порядка, и быть оформлены в соответствии с требованиями </w:t>
      </w:r>
      <w:hyperlink r:id="rId12" w:tooltip="https://internet.garant.ru/document/redirect/70103036/0" w:history="1">
        <w:r>
          <w:rPr>
            <w:rFonts w:eastAsia="Arial"/>
            <w:sz w:val="28"/>
            <w:szCs w:val="28"/>
          </w:rPr>
          <w:t>Федерального закона</w:t>
        </w:r>
      </w:hyperlink>
      <w:r>
        <w:rPr>
          <w:rFonts w:eastAsia="Arial"/>
          <w:sz w:val="28"/>
          <w:szCs w:val="28"/>
        </w:rPr>
        <w:t xml:space="preserve"> </w:t>
      </w:r>
      <w:r>
        <w:rPr>
          <w:sz w:val="28"/>
          <w:szCs w:val="28"/>
        </w:rPr>
        <w:t xml:space="preserve">от 06.12.2011 </w:t>
      </w:r>
      <w:r>
        <w:rPr>
          <w:sz w:val="28"/>
          <w:szCs w:val="28"/>
          <w:lang w:bidi="en-US"/>
        </w:rPr>
        <w:t xml:space="preserve">№ </w:t>
      </w:r>
      <w:r>
        <w:rPr>
          <w:sz w:val="28"/>
          <w:szCs w:val="28"/>
        </w:rPr>
        <w:t>402-ФЗ «О бухгалтерском учете».</w:t>
      </w:r>
    </w:p>
    <w:p w:rsidR="00735CCF" w:rsidRDefault="00735CCF" w:rsidP="00735CCF">
      <w:pPr>
        <w:spacing w:after="0" w:line="240" w:lineRule="auto"/>
        <w:ind w:firstLine="708"/>
        <w:jc w:val="both"/>
        <w:outlineLvl w:val="0"/>
        <w:rPr>
          <w:rFonts w:ascii="Times New Roman" w:hAnsi="Times New Roman"/>
          <w:sz w:val="28"/>
          <w:szCs w:val="28"/>
        </w:rPr>
      </w:pPr>
      <w:r>
        <w:rPr>
          <w:rFonts w:ascii="Times New Roman" w:hAnsi="Times New Roman"/>
          <w:sz w:val="28"/>
          <w:szCs w:val="28"/>
        </w:rPr>
        <w:lastRenderedPageBreak/>
        <w:t>2.</w:t>
      </w:r>
      <w:proofErr w:type="gramStart"/>
      <w:r>
        <w:rPr>
          <w:rFonts w:ascii="Times New Roman" w:hAnsi="Times New Roman"/>
          <w:sz w:val="28"/>
          <w:szCs w:val="28"/>
        </w:rPr>
        <w:t>12.Все</w:t>
      </w:r>
      <w:proofErr w:type="gramEnd"/>
      <w:r>
        <w:rPr>
          <w:rFonts w:ascii="Times New Roman" w:hAnsi="Times New Roman"/>
          <w:sz w:val="28"/>
          <w:szCs w:val="28"/>
        </w:rPr>
        <w:t xml:space="preserve"> документы, предоставляемые при подаче заявки, подаваемые в электронном виде, должны быть четко написаны и заполнены. Подчистки и исправления не допускаются, за исключением исправлений, скрепленных печатью (при наличии печати) и заверенных подписью заявителя или уполномоченного лица.</w:t>
      </w:r>
    </w:p>
    <w:p w:rsidR="00136FDB" w:rsidRDefault="00735CCF">
      <w:bookmarkStart w:id="0" w:name="_GoBack"/>
      <w:bookmarkEnd w:id="0"/>
    </w:p>
    <w:sectPr w:rsidR="00136F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8A5"/>
    <w:rsid w:val="003A530C"/>
    <w:rsid w:val="004E272C"/>
    <w:rsid w:val="00735CCF"/>
    <w:rsid w:val="0074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F90F0-BC1D-4413-91BD-55939752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CC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35CCF"/>
    <w:rPr>
      <w:color w:val="0000FF"/>
      <w:u w:val="single"/>
    </w:rPr>
  </w:style>
  <w:style w:type="paragraph" w:customStyle="1" w:styleId="a4">
    <w:name w:val="Прижатый влево"/>
    <w:basedOn w:val="a"/>
    <w:next w:val="a"/>
    <w:uiPriority w:val="99"/>
    <w:rsid w:val="00735CCF"/>
    <w:pPr>
      <w:widowControl w:val="0"/>
      <w:spacing w:after="0" w:line="240" w:lineRule="auto"/>
    </w:pPr>
    <w:rPr>
      <w:rFonts w:ascii="Arial" w:eastAsia="Times New Roman" w:hAnsi="Arial" w:cs="Arial"/>
      <w:sz w:val="24"/>
      <w:szCs w:val="24"/>
      <w:lang w:eastAsia="ru-RU"/>
    </w:rPr>
  </w:style>
  <w:style w:type="character" w:customStyle="1" w:styleId="a5">
    <w:name w:val="Основной текст_"/>
    <w:link w:val="1"/>
    <w:rsid w:val="00735CCF"/>
    <w:rPr>
      <w:rFonts w:ascii="Times New Roman" w:eastAsia="Times New Roman" w:hAnsi="Times New Roman"/>
      <w:shd w:val="clear" w:color="auto" w:fill="FFFFFF"/>
    </w:rPr>
  </w:style>
  <w:style w:type="paragraph" w:customStyle="1" w:styleId="1">
    <w:name w:val="Основной текст1"/>
    <w:basedOn w:val="a"/>
    <w:link w:val="a5"/>
    <w:rsid w:val="00735CCF"/>
    <w:pPr>
      <w:widowControl w:val="0"/>
      <w:shd w:val="clear" w:color="auto" w:fill="FFFFFF"/>
      <w:spacing w:after="0" w:line="240" w:lineRule="auto"/>
      <w:ind w:firstLine="400"/>
    </w:pPr>
    <w:rPr>
      <w:rFonts w:ascii="Times New Roman" w:eastAsia="Times New Roman"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17360/2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2117360/1000" TargetMode="External"/><Relationship Id="rId12" Type="http://schemas.openxmlformats.org/officeDocument/2006/relationships/hyperlink" Target="https://internet.garant.ru/document/redirect/7010303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70103036/0" TargetMode="External"/><Relationship Id="rId11" Type="http://schemas.openxmlformats.org/officeDocument/2006/relationships/hyperlink" Target="https://internet.garant.ru/document/redirect/12154854/0" TargetMode="External"/><Relationship Id="rId5" Type="http://schemas.openxmlformats.org/officeDocument/2006/relationships/hyperlink" Target="https://internet.garant.ru/document/redirect/12117360/2000" TargetMode="External"/><Relationship Id="rId10" Type="http://schemas.openxmlformats.org/officeDocument/2006/relationships/hyperlink" Target="https://internet.garant.ru/document/redirect/70103036/0" TargetMode="External"/><Relationship Id="rId4" Type="http://schemas.openxmlformats.org/officeDocument/2006/relationships/hyperlink" Target="https://internet.garant.ru/document/redirect/12117360/1000" TargetMode="External"/><Relationship Id="rId9" Type="http://schemas.openxmlformats.org/officeDocument/2006/relationships/hyperlink" Target="https://internet.garant.ru/document/redirect/12117360/2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6123</Characters>
  <Application>Microsoft Office Word</Application>
  <DocSecurity>0</DocSecurity>
  <Lines>51</Lines>
  <Paragraphs>14</Paragraphs>
  <ScaleCrop>false</ScaleCrop>
  <Company>SPecialiST RePack</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Михайловна Сарычева</dc:creator>
  <cp:keywords/>
  <dc:description/>
  <cp:lastModifiedBy>Евгения Михайловна Сарычева</cp:lastModifiedBy>
  <cp:revision>2</cp:revision>
  <dcterms:created xsi:type="dcterms:W3CDTF">2026-01-16T08:34:00Z</dcterms:created>
  <dcterms:modified xsi:type="dcterms:W3CDTF">2026-01-16T08:35:00Z</dcterms:modified>
</cp:coreProperties>
</file>